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F284" w14:textId="77777777"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14:paraId="00F293AA" w14:textId="08EEF127" w:rsidR="00C46AB9" w:rsidRPr="00CD1683" w:rsidRDefault="00DF2EFF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Aquileia – Area dei mercati e delle mura tardoantiche</w:t>
      </w:r>
    </w:p>
    <w:p w14:paraId="75178ED6" w14:textId="77777777" w:rsidR="00971201" w:rsidRPr="00CD1683" w:rsidRDefault="00971201" w:rsidP="00971201">
      <w:pPr>
        <w:spacing w:after="0" w:line="240" w:lineRule="auto"/>
        <w:jc w:val="both"/>
      </w:pPr>
    </w:p>
    <w:p w14:paraId="23CF9CC9" w14:textId="77777777" w:rsidR="00C46AB9" w:rsidRPr="00CD1683" w:rsidRDefault="00C36A51" w:rsidP="00C46AB9">
      <w:pPr>
        <w:spacing w:after="0" w:line="240" w:lineRule="auto"/>
      </w:pPr>
      <w:r w:rsidRPr="00CD1683">
        <w:rPr>
          <w:b/>
          <w:sz w:val="28"/>
          <w:szCs w:val="28"/>
        </w:rPr>
        <w:t>Per partecipare allo scavo</w:t>
      </w:r>
      <w:r w:rsidR="00C46AB9" w:rsidRPr="00CD168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C46AB9" w:rsidRPr="00CD1683" w14:paraId="73D7986C" w14:textId="77777777" w:rsidTr="007A34D1">
        <w:tc>
          <w:tcPr>
            <w:tcW w:w="3936" w:type="dxa"/>
          </w:tcPr>
          <w:p w14:paraId="6EBE7F64" w14:textId="77777777"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14:paraId="1D2A1E42" w14:textId="77777777" w:rsidR="00C46AB9" w:rsidRPr="00CD1683" w:rsidRDefault="004553D4" w:rsidP="00C46AB9">
            <w:r w:rsidRPr="00CD1683">
              <w:t xml:space="preserve">MIBACT- Ministero per i Beni </w:t>
            </w:r>
            <w:r w:rsidR="0061598F" w:rsidRPr="00CD1683">
              <w:t>e le Attività Culturali e il Turismo</w:t>
            </w:r>
          </w:p>
        </w:tc>
      </w:tr>
      <w:tr w:rsidR="004553D4" w:rsidRPr="00CD1683" w14:paraId="6D57D79A" w14:textId="77777777" w:rsidTr="007A34D1">
        <w:tc>
          <w:tcPr>
            <w:tcW w:w="3936" w:type="dxa"/>
          </w:tcPr>
          <w:p w14:paraId="30FF6E42" w14:textId="77777777"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14:paraId="523599BD" w14:textId="6358B7AD" w:rsidR="004553D4" w:rsidRPr="00CD1683" w:rsidRDefault="004553D4" w:rsidP="004D55F1">
            <w:r w:rsidRPr="00CD1683">
              <w:t xml:space="preserve">Università degli Studi di </w:t>
            </w:r>
            <w:r w:rsidR="008818C0" w:rsidRPr="00CD1683">
              <w:t>Verona</w:t>
            </w:r>
            <w:r w:rsidRPr="00CD1683">
              <w:t xml:space="preserve">, Dipartimento </w:t>
            </w:r>
            <w:r w:rsidR="004D55F1">
              <w:t>Culture e Civiltà</w:t>
            </w:r>
          </w:p>
        </w:tc>
      </w:tr>
      <w:tr w:rsidR="00C46AB9" w:rsidRPr="00CD1683" w14:paraId="51834EC9" w14:textId="77777777" w:rsidTr="007A34D1">
        <w:tc>
          <w:tcPr>
            <w:tcW w:w="3936" w:type="dxa"/>
          </w:tcPr>
          <w:p w14:paraId="5DF71705" w14:textId="77777777"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14:paraId="6B3B0031" w14:textId="41F2FA78" w:rsidR="00C46AB9" w:rsidRPr="00CD1683" w:rsidRDefault="008818C0" w:rsidP="008818C0">
            <w:r w:rsidRPr="00CD1683">
              <w:t>Prof. Patrizia Basso</w:t>
            </w:r>
            <w:r w:rsidR="00C46AB9" w:rsidRPr="00CD1683">
              <w:t xml:space="preserve"> </w:t>
            </w:r>
            <w:r w:rsidR="009C49D4">
              <w:t xml:space="preserve">in collaborazione con Fabio Saggioro e Diana Dobreva, </w:t>
            </w:r>
            <w:r w:rsidR="009C49D4" w:rsidRPr="00CD1683">
              <w:t>Università di Verona</w:t>
            </w:r>
            <w:r w:rsidR="009C49D4">
              <w:t xml:space="preserve"> </w:t>
            </w:r>
          </w:p>
        </w:tc>
      </w:tr>
      <w:tr w:rsidR="00C46AB9" w:rsidRPr="00CD1683" w14:paraId="09A732AF" w14:textId="77777777" w:rsidTr="007A34D1">
        <w:tc>
          <w:tcPr>
            <w:tcW w:w="3936" w:type="dxa"/>
          </w:tcPr>
          <w:p w14:paraId="35725FF1" w14:textId="77777777"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14:paraId="7FD7821B" w14:textId="77777777" w:rsidR="00C46AB9" w:rsidRPr="00CD1683" w:rsidRDefault="008818C0" w:rsidP="00CD79B8">
            <w:r w:rsidRPr="00CD1683">
              <w:t>Età romana</w:t>
            </w:r>
          </w:p>
        </w:tc>
      </w:tr>
      <w:tr w:rsidR="00C46AB9" w:rsidRPr="00CD1683" w14:paraId="28FA873D" w14:textId="77777777" w:rsidTr="007A34D1">
        <w:tc>
          <w:tcPr>
            <w:tcW w:w="3936" w:type="dxa"/>
          </w:tcPr>
          <w:p w14:paraId="6E501433" w14:textId="77777777"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14:paraId="1123E450" w14:textId="52181B21" w:rsidR="00C46AB9" w:rsidRPr="00CD1683" w:rsidRDefault="009C49D4" w:rsidP="003F2E72">
            <w:r>
              <w:t>4-29 giugno 2018</w:t>
            </w:r>
          </w:p>
        </w:tc>
      </w:tr>
      <w:tr w:rsidR="00C46AB9" w:rsidRPr="00CD1683" w14:paraId="0716E999" w14:textId="77777777" w:rsidTr="007A34D1">
        <w:tc>
          <w:tcPr>
            <w:tcW w:w="3936" w:type="dxa"/>
          </w:tcPr>
          <w:p w14:paraId="2E22EF26" w14:textId="77777777"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14:paraId="0D3D634B" w14:textId="77777777" w:rsidR="00C46AB9" w:rsidRPr="00CD1683" w:rsidRDefault="00092810" w:rsidP="00C46AB9">
            <w:r w:rsidRPr="00CD1683">
              <w:t>Due settimane</w:t>
            </w:r>
          </w:p>
        </w:tc>
      </w:tr>
      <w:tr w:rsidR="00C46AB9" w:rsidRPr="00CD1683" w14:paraId="32599A19" w14:textId="77777777" w:rsidTr="007A34D1">
        <w:tc>
          <w:tcPr>
            <w:tcW w:w="3936" w:type="dxa"/>
          </w:tcPr>
          <w:p w14:paraId="525E0987" w14:textId="77777777"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14:paraId="7CA0729B" w14:textId="3917389A" w:rsidR="00A34EC9" w:rsidRPr="00CD1683" w:rsidRDefault="000A22F7" w:rsidP="00E35A5D">
            <w:r w:rsidRPr="00CD1683">
              <w:t xml:space="preserve">Alloggio gratuito </w:t>
            </w:r>
            <w:r w:rsidR="00814DAF" w:rsidRPr="00CD1683">
              <w:t xml:space="preserve">in una </w:t>
            </w:r>
            <w:r w:rsidR="009C49D4">
              <w:t>casa ad Aquileia</w:t>
            </w:r>
            <w:r w:rsidR="00814DAF" w:rsidRPr="00CD1683">
              <w:t>. La struttura non offre lenzuola né asciugamani</w:t>
            </w:r>
            <w:r w:rsidR="00E35A5D" w:rsidRPr="00CD1683">
              <w:t>, che restano dunque a carico dei partecipanti</w:t>
            </w:r>
            <w:r w:rsidR="00814DAF" w:rsidRPr="00CD1683">
              <w:t>.</w:t>
            </w:r>
          </w:p>
        </w:tc>
      </w:tr>
      <w:tr w:rsidR="00C46AB9" w:rsidRPr="00CD1683" w14:paraId="4BFD3DF9" w14:textId="77777777" w:rsidTr="007A34D1">
        <w:tc>
          <w:tcPr>
            <w:tcW w:w="3936" w:type="dxa"/>
          </w:tcPr>
          <w:p w14:paraId="3279793D" w14:textId="77777777"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14:paraId="792CEFED" w14:textId="6C3E9E5C" w:rsidR="00C46AB9" w:rsidRPr="00CD1683" w:rsidRDefault="008818C0" w:rsidP="008818C0">
            <w:r w:rsidRPr="00CD1683">
              <w:t>A carico dell’organizzazione</w:t>
            </w:r>
            <w:r w:rsidR="003F2E72">
              <w:t xml:space="preserve">, con pranzi in </w:t>
            </w:r>
            <w:r w:rsidR="009C49D4">
              <w:t>ristorante</w:t>
            </w:r>
            <w:r w:rsidR="003F2E72">
              <w:t xml:space="preserve"> e cene in casa, preparate</w:t>
            </w:r>
            <w:r w:rsidR="00814DAF" w:rsidRPr="00CD1683">
              <w:t xml:space="preserve"> a turno dai partecipan</w:t>
            </w:r>
            <w:r w:rsidR="00E35A5D" w:rsidRPr="00CD1683">
              <w:t>t</w:t>
            </w:r>
            <w:r w:rsidR="00814DAF" w:rsidRPr="00CD1683">
              <w:t>i</w:t>
            </w:r>
            <w:r w:rsidR="00127572" w:rsidRPr="00CD1683">
              <w:t>.</w:t>
            </w:r>
          </w:p>
        </w:tc>
      </w:tr>
      <w:tr w:rsidR="00C46AB9" w:rsidRPr="00CD1683" w14:paraId="624F9D75" w14:textId="77777777" w:rsidTr="007A34D1">
        <w:tc>
          <w:tcPr>
            <w:tcW w:w="3936" w:type="dxa"/>
          </w:tcPr>
          <w:p w14:paraId="4D3F626E" w14:textId="77777777"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14:paraId="13B00229" w14:textId="17711229" w:rsidR="00A34EC9" w:rsidRPr="00CD1683" w:rsidRDefault="009C49D4" w:rsidP="00E35A5D">
            <w:r>
              <w:t>Ad Aquileia</w:t>
            </w:r>
            <w:r w:rsidR="00E35A5D" w:rsidRPr="00CD1683">
              <w:t xml:space="preserve"> è</w:t>
            </w:r>
            <w:r w:rsidR="000A22F7" w:rsidRPr="00CD1683">
              <w:t xml:space="preserve"> possibile</w:t>
            </w:r>
            <w:r w:rsidR="00513AB1" w:rsidRPr="00CD1683">
              <w:t xml:space="preserve"> arrivare </w:t>
            </w:r>
            <w:r>
              <w:t>con il treno fino a Cervignano del. Friuli e poi in</w:t>
            </w:r>
            <w:r w:rsidR="00513AB1" w:rsidRPr="00CD1683">
              <w:t xml:space="preserve"> </w:t>
            </w:r>
            <w:r w:rsidR="00814DAF" w:rsidRPr="00CD1683">
              <w:t>pul</w:t>
            </w:r>
            <w:r w:rsidR="00E35A5D" w:rsidRPr="00CD1683">
              <w:t>lman</w:t>
            </w:r>
            <w:r w:rsidR="00814DAF" w:rsidRPr="00CD1683">
              <w:t xml:space="preserve"> </w:t>
            </w:r>
          </w:p>
        </w:tc>
      </w:tr>
      <w:tr w:rsidR="00C46AB9" w:rsidRPr="00CD1683" w14:paraId="6C80AD76" w14:textId="77777777" w:rsidTr="007A34D1">
        <w:tc>
          <w:tcPr>
            <w:tcW w:w="3936" w:type="dxa"/>
          </w:tcPr>
          <w:p w14:paraId="2358850C" w14:textId="77777777"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14:paraId="15F4D449" w14:textId="77777777" w:rsidR="00C46AB9" w:rsidRPr="00CD1683" w:rsidRDefault="008D7AAE" w:rsidP="00CD79B8">
            <w:r w:rsidRPr="00CD1683">
              <w:t>Sono già disponibili sull’area dello scavo</w:t>
            </w:r>
            <w:r w:rsidR="00CD79B8" w:rsidRPr="00CD1683">
              <w:t>.</w:t>
            </w:r>
          </w:p>
        </w:tc>
      </w:tr>
      <w:tr w:rsidR="00127572" w:rsidRPr="00CD1683" w14:paraId="53E27A41" w14:textId="77777777" w:rsidTr="007A34D1">
        <w:tc>
          <w:tcPr>
            <w:tcW w:w="3936" w:type="dxa"/>
          </w:tcPr>
          <w:p w14:paraId="1F8B89DF" w14:textId="77777777"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14:paraId="4734E92F" w14:textId="77B00AA1" w:rsidR="00127572" w:rsidRPr="00CD1683" w:rsidRDefault="00127572" w:rsidP="00CD79B8">
            <w:r w:rsidRPr="00CD1683">
              <w:t xml:space="preserve">Consono alle attività di </w:t>
            </w:r>
            <w:r w:rsidR="00CD79B8" w:rsidRPr="00CD1683">
              <w:t>scavo.</w:t>
            </w:r>
            <w:r w:rsidRPr="00CD1683">
              <w:t xml:space="preserve">  </w:t>
            </w:r>
            <w:r w:rsidR="00CD1683" w:rsidRPr="00CD1683">
              <w:rPr>
                <w:rFonts w:eastAsia="Calibri" w:cs="Calibri"/>
                <w:u w:val="single"/>
              </w:rPr>
              <w:t xml:space="preserve">OBBLIGATORI: guanti </w:t>
            </w:r>
            <w:r w:rsidR="009C49D4">
              <w:rPr>
                <w:rFonts w:eastAsia="Calibri" w:cs="Calibri"/>
                <w:u w:val="single"/>
              </w:rPr>
              <w:t>da</w:t>
            </w:r>
            <w:r w:rsidR="00CF30C3">
              <w:rPr>
                <w:rFonts w:eastAsia="Calibri" w:cs="Calibri"/>
                <w:u w:val="single"/>
              </w:rPr>
              <w:t xml:space="preserve"> lavoro </w:t>
            </w:r>
            <w:r w:rsidR="00CD1683" w:rsidRPr="00CD1683">
              <w:rPr>
                <w:rFonts w:eastAsia="Calibri" w:cs="Calibri"/>
                <w:u w:val="single"/>
              </w:rPr>
              <w:t>e scarpe antinfortunistica (o con punta rinforzata)</w:t>
            </w:r>
          </w:p>
        </w:tc>
      </w:tr>
      <w:tr w:rsidR="00C46AB9" w:rsidRPr="00CD1683" w14:paraId="67E942CA" w14:textId="77777777" w:rsidTr="007A34D1">
        <w:tc>
          <w:tcPr>
            <w:tcW w:w="3936" w:type="dxa"/>
          </w:tcPr>
          <w:p w14:paraId="3278E2B6" w14:textId="77777777"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14:paraId="629E2473" w14:textId="7CBF4479" w:rsidR="008D7AAE" w:rsidRPr="00CD1683" w:rsidRDefault="008D7AAE" w:rsidP="008818C0">
            <w:r w:rsidRPr="00CD1683">
              <w:t xml:space="preserve">Da lunedì al venerdì dalle </w:t>
            </w:r>
            <w:r w:rsidR="008818C0" w:rsidRPr="00CD1683">
              <w:t>8</w:t>
            </w:r>
            <w:r w:rsidR="00CD79B8" w:rsidRPr="00CD1683">
              <w:t>,00</w:t>
            </w:r>
            <w:r w:rsidRPr="00CD1683">
              <w:t xml:space="preserve"> alle</w:t>
            </w:r>
            <w:r w:rsidR="008818C0" w:rsidRPr="00CD1683">
              <w:t xml:space="preserve"> 12,00 e dalle 14,00 alle 18</w:t>
            </w:r>
            <w:r w:rsidR="00CD79B8" w:rsidRPr="00CD1683">
              <w:t>,00</w:t>
            </w:r>
            <w:r w:rsidR="003F2E72">
              <w:t xml:space="preserve"> (eventualmente adattabili allo stato di luce del periodo)</w:t>
            </w:r>
          </w:p>
        </w:tc>
      </w:tr>
      <w:tr w:rsidR="00861038" w:rsidRPr="00CD1683" w14:paraId="0FA1BFE5" w14:textId="77777777" w:rsidTr="007A34D1">
        <w:tc>
          <w:tcPr>
            <w:tcW w:w="3936" w:type="dxa"/>
          </w:tcPr>
          <w:p w14:paraId="7AB4389D" w14:textId="77777777"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14:paraId="6EECDB30" w14:textId="5B1028CA" w:rsidR="009C1F6D" w:rsidRPr="00CD1683" w:rsidRDefault="00861038" w:rsidP="008818C0">
            <w:r w:rsidRPr="00CD1683">
              <w:t>Attività di scavo</w:t>
            </w:r>
            <w:r w:rsidR="009C1F6D" w:rsidRPr="00CD1683">
              <w:t>;</w:t>
            </w:r>
            <w:r w:rsidR="008818C0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attività di documentazione</w:t>
            </w:r>
            <w:r w:rsidR="00CD1683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(rilievi, fotopiani, schede US)</w:t>
            </w:r>
            <w:r w:rsidR="009C1F6D" w:rsidRPr="00CD1683">
              <w:rPr>
                <w:rFonts w:eastAsia="Times New Roman" w:cs="Times New Roman"/>
                <w:bCs/>
                <w:color w:val="000000"/>
                <w:lang w:eastAsia="it-IT"/>
              </w:rPr>
              <w:t xml:space="preserve">; </w:t>
            </w:r>
            <w:r w:rsidR="00513AB1" w:rsidRPr="00CD1683">
              <w:rPr>
                <w:rFonts w:eastAsia="Times New Roman" w:cs="Times New Roman"/>
                <w:bCs/>
                <w:color w:val="000000"/>
                <w:lang w:eastAsia="it-IT"/>
              </w:rPr>
              <w:t xml:space="preserve">catalogazione </w:t>
            </w:r>
            <w:r w:rsidR="008818C0" w:rsidRPr="00CD1683">
              <w:rPr>
                <w:rFonts w:eastAsia="Times New Roman" w:cs="Times New Roman"/>
                <w:bCs/>
                <w:color w:val="000000"/>
                <w:lang w:eastAsia="it-IT"/>
              </w:rPr>
              <w:t>e informatizzazione dei reperti</w:t>
            </w:r>
            <w:r w:rsidR="00814DAF" w:rsidRPr="00CD1683">
              <w:rPr>
                <w:rFonts w:eastAsia="Times New Roman" w:cs="Times New Roman"/>
                <w:bCs/>
                <w:color w:val="000000"/>
                <w:lang w:eastAsia="it-IT"/>
              </w:rPr>
              <w:t>; attività di survey</w:t>
            </w:r>
          </w:p>
        </w:tc>
      </w:tr>
      <w:tr w:rsidR="009C1F6D" w:rsidRPr="00CD1683" w14:paraId="474D66AB" w14:textId="77777777" w:rsidTr="007A34D1">
        <w:tc>
          <w:tcPr>
            <w:tcW w:w="3936" w:type="dxa"/>
          </w:tcPr>
          <w:p w14:paraId="4B4B669E" w14:textId="77777777"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14:paraId="26AC9E9B" w14:textId="2C40FD74" w:rsidR="00127572" w:rsidRPr="00CD1683" w:rsidRDefault="00513AB1" w:rsidP="00740889">
            <w:pPr>
              <w:jc w:val="both"/>
            </w:pPr>
            <w:r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>S</w:t>
            </w:r>
            <w:r w:rsidR="009C1F6D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eminari </w:t>
            </w:r>
            <w:r w:rsidR="00740889">
              <w:rPr>
                <w:rFonts w:eastAsia="Calibri" w:cs="Times New Roman"/>
                <w:bCs/>
                <w:color w:val="000000"/>
                <w:shd w:val="clear" w:color="auto" w:fill="FFFFFF"/>
              </w:rPr>
              <w:t>metodologici e</w:t>
            </w:r>
            <w:r w:rsidR="008818C0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visita </w:t>
            </w:r>
            <w:r w:rsidR="009C49D4">
              <w:rPr>
                <w:rFonts w:eastAsia="Calibri" w:cs="Times New Roman"/>
                <w:bCs/>
                <w:color w:val="000000"/>
                <w:shd w:val="clear" w:color="auto" w:fill="FFFFFF"/>
              </w:rPr>
              <w:t>ad altri scavi in corso in città</w:t>
            </w:r>
            <w:r w:rsidR="00814DAF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C46AB9" w:rsidRPr="00CD1683" w14:paraId="5DEED9B2" w14:textId="77777777" w:rsidTr="007A34D1">
        <w:tc>
          <w:tcPr>
            <w:tcW w:w="3936" w:type="dxa"/>
          </w:tcPr>
          <w:p w14:paraId="7F687719" w14:textId="05CC8623"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14:paraId="65ADF723" w14:textId="124296C1" w:rsidR="00C46AB9" w:rsidRPr="00CD1683" w:rsidRDefault="00266E6B" w:rsidP="00266E6B">
            <w:r>
              <w:t>E’ obbligatorio</w:t>
            </w:r>
            <w:r w:rsidR="00C21180" w:rsidRPr="00CD1683">
              <w:t xml:space="preserve"> </w:t>
            </w:r>
            <w:r w:rsidR="00740889">
              <w:t xml:space="preserve">il certificato medico </w:t>
            </w:r>
            <w:r>
              <w:t>di idoneità fisica</w:t>
            </w:r>
            <w:r w:rsidR="00D357C4">
              <w:t xml:space="preserve"> (e la vaccinazione antitetanica)</w:t>
            </w:r>
          </w:p>
        </w:tc>
      </w:tr>
      <w:tr w:rsidR="00740889" w:rsidRPr="00CD1683" w14:paraId="412221B0" w14:textId="77777777" w:rsidTr="007A34D1">
        <w:tc>
          <w:tcPr>
            <w:tcW w:w="3936" w:type="dxa"/>
          </w:tcPr>
          <w:p w14:paraId="29971B5C" w14:textId="557335E0"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14:paraId="2501623A" w14:textId="2D6E5FDA"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14:paraId="5599FE00" w14:textId="77777777" w:rsidTr="007A34D1">
        <w:tc>
          <w:tcPr>
            <w:tcW w:w="3936" w:type="dxa"/>
          </w:tcPr>
          <w:p w14:paraId="2F2275A8" w14:textId="77777777"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14:paraId="58086866" w14:textId="3F621AAD"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Gli altri devono avere una copertura assicurativa</w:t>
            </w:r>
          </w:p>
        </w:tc>
      </w:tr>
      <w:tr w:rsidR="00C46AB9" w:rsidRPr="00CD1683" w14:paraId="61749DC7" w14:textId="77777777" w:rsidTr="007A34D1">
        <w:tc>
          <w:tcPr>
            <w:tcW w:w="3936" w:type="dxa"/>
          </w:tcPr>
          <w:p w14:paraId="0FB223E3" w14:textId="77777777"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14:paraId="401785CB" w14:textId="51A622D5" w:rsidR="00C46AB9" w:rsidRPr="00CD1683" w:rsidRDefault="00CD1683" w:rsidP="007319D8">
            <w:r w:rsidRPr="00CD1683">
              <w:rPr>
                <w:rFonts w:cs="Times New Roman"/>
              </w:rPr>
              <w:t xml:space="preserve">Attestato di partecipazione che riporti calcolo delle ore svolte e giudizio di merito. </w:t>
            </w:r>
          </w:p>
        </w:tc>
      </w:tr>
      <w:tr w:rsidR="00C46AB9" w:rsidRPr="00CD1683" w14:paraId="35596FFF" w14:textId="77777777" w:rsidTr="007A34D1">
        <w:tc>
          <w:tcPr>
            <w:tcW w:w="3936" w:type="dxa"/>
          </w:tcPr>
          <w:p w14:paraId="51D5BDBF" w14:textId="77777777"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14:paraId="0FDD3C27" w14:textId="5BD77E91" w:rsidR="00C21180" w:rsidRPr="00CD1683" w:rsidRDefault="009C49D4" w:rsidP="00814DAF">
            <w:r>
              <w:rPr>
                <w:rFonts w:ascii="Arial" w:eastAsia="Arial" w:hAnsi="Arial" w:cs="Arial"/>
                <w:color w:val="0000FF"/>
                <w:sz w:val="20"/>
                <w:u w:val="single"/>
                <w:shd w:val="clear" w:color="auto" w:fill="FFFFFF"/>
              </w:rPr>
              <w:t>dianasergeeva.dobreva@univr.it</w:t>
            </w:r>
          </w:p>
        </w:tc>
      </w:tr>
    </w:tbl>
    <w:p w14:paraId="67A4016C" w14:textId="77777777" w:rsidR="00814DAF" w:rsidRDefault="00814DAF" w:rsidP="00814DAF">
      <w:pPr>
        <w:jc w:val="both"/>
      </w:pPr>
    </w:p>
    <w:p w14:paraId="01CBD908" w14:textId="77777777" w:rsidR="00CD1683" w:rsidRPr="00CD1683" w:rsidRDefault="00CD1683" w:rsidP="00814DAF">
      <w:pPr>
        <w:jc w:val="both"/>
      </w:pPr>
    </w:p>
    <w:p w14:paraId="19D776EF" w14:textId="6442DC68" w:rsidR="00814DAF" w:rsidRPr="00CD1683" w:rsidRDefault="009C49D4" w:rsidP="00E46C6F">
      <w:pPr>
        <w:jc w:val="center"/>
        <w:rPr>
          <w:b/>
        </w:rPr>
      </w:pPr>
      <w:r>
        <w:rPr>
          <w:b/>
        </w:rPr>
        <w:t>Lo scavo dei</w:t>
      </w:r>
      <w:r w:rsidR="00E46C6F" w:rsidRPr="00CD1683">
        <w:rPr>
          <w:b/>
        </w:rPr>
        <w:t xml:space="preserve"> </w:t>
      </w:r>
      <w:r>
        <w:rPr>
          <w:b/>
        </w:rPr>
        <w:t>mercati tardoantichi</w:t>
      </w:r>
    </w:p>
    <w:p w14:paraId="6341F0E7" w14:textId="77777777" w:rsidR="00563045" w:rsidRDefault="009C49D4" w:rsidP="008E0EAD">
      <w:pPr>
        <w:jc w:val="both"/>
      </w:pPr>
      <w:r>
        <w:t>Dopo tre anni di campagne di scavo nell’anfiteatro della città che hanno portato a dati di grande interesse e novità sul monumentale edificio, ora in corso di elaborazione per una prossima pubblicazione a stampa, si intende ora avviare con il supporto della Fondazione Aquileia un nuovo progetto di indagine in un’area ubicata a sud della basilica</w:t>
      </w:r>
      <w:r w:rsidR="005007A5">
        <w:t xml:space="preserve"> e nota come ex Fondo Pasqualis</w:t>
      </w:r>
      <w:r>
        <w:t xml:space="preserve">. In quest’area scavi degli anni ’50 del Novecento condotti da Giovanni Brusin portarono alla luce alcuni settori di tre piazze </w:t>
      </w:r>
      <w:r w:rsidR="005007A5">
        <w:t>del</w:t>
      </w:r>
      <w:r>
        <w:t xml:space="preserve"> mercato </w:t>
      </w:r>
      <w:r w:rsidR="005007A5">
        <w:t xml:space="preserve">attribuito ad età </w:t>
      </w:r>
      <w:r w:rsidR="005007A5">
        <w:lastRenderedPageBreak/>
        <w:t>tardoantica</w:t>
      </w:r>
      <w:r>
        <w:t xml:space="preserve"> e due lunghi tratti di due mura di cinta concentriche, datate l’uno al IV e l’altro al V secolo d.C. Gran parte di queste strutture ancor oggi visibili sono aperte al pubblico e continueranno ad esserlo anche durante le indagini di scavo, in un progetto di public </w:t>
      </w:r>
      <w:r w:rsidR="00CE3939">
        <w:t>archaology che mira a coinvolgere la cittadinanza e i numerosi turisti estivi.</w:t>
      </w:r>
    </w:p>
    <w:p w14:paraId="418B2EC3" w14:textId="27D9A2A9" w:rsidR="00CE3939" w:rsidRDefault="00563045" w:rsidP="008E0EAD">
      <w:pPr>
        <w:jc w:val="both"/>
      </w:pPr>
      <w:r w:rsidRPr="0056304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5D9ED6" wp14:editId="29F49A8B">
            <wp:extent cx="6120130" cy="460248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7-12-13 alle 12.27.4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C387" w14:textId="5CC697F4" w:rsidR="00CE3939" w:rsidRDefault="00CE3939" w:rsidP="008E0EAD">
      <w:pPr>
        <w:jc w:val="both"/>
      </w:pPr>
      <w:r>
        <w:t xml:space="preserve">L’area risulta </w:t>
      </w:r>
      <w:r w:rsidR="005007A5">
        <w:t>molto promettente per l’indagine</w:t>
      </w:r>
      <w:r>
        <w:t xml:space="preserve">, certamente per la sua centralità tardoantica ma anche per il ruolo tutto da capire che essa dovette </w:t>
      </w:r>
      <w:r w:rsidR="005007A5">
        <w:t>giocare</w:t>
      </w:r>
      <w:r>
        <w:t xml:space="preserve"> anche in età repubblicana e primo imperiale, se non altro per la strategica ubicazione in prossimità del </w:t>
      </w:r>
      <w:r w:rsidRPr="00CE3939">
        <w:rPr>
          <w:i/>
        </w:rPr>
        <w:t>Natiso cum Turro</w:t>
      </w:r>
      <w:r>
        <w:t>.</w:t>
      </w:r>
    </w:p>
    <w:p w14:paraId="041E4B06" w14:textId="7E363A78" w:rsidR="00CE3939" w:rsidRDefault="00CE3939" w:rsidP="008E0EAD">
      <w:pPr>
        <w:jc w:val="both"/>
      </w:pPr>
      <w:r>
        <w:t>Nella campagna 2018 si prevede di raccogliere preliminarmente tutta la documentazione degli scavi pregressi e di montarla in un unico GIS con il rilievo che si effettuerà tramite un drone</w:t>
      </w:r>
      <w:r w:rsidR="005007A5">
        <w:t xml:space="preserve"> e con i risultati delle</w:t>
      </w:r>
      <w:r>
        <w:t xml:space="preserve"> indagini con il georadar anch’esse da condursi prima degli scavi. Questi dati orienteranno il posizionamento  dei primi sondaggi che si intendono aprire al fine di verificare la stratigrafia del sito e di ricostruire una </w:t>
      </w:r>
      <w:r w:rsidR="005007A5">
        <w:t>puntuale cronologi</w:t>
      </w:r>
      <w:r>
        <w:t xml:space="preserve">a di riferimento delle strutture </w:t>
      </w:r>
      <w:r w:rsidR="005007A5">
        <w:t xml:space="preserve">già </w:t>
      </w:r>
      <w:r>
        <w:t>emerse, anche grazie a mirate analisi al C14</w:t>
      </w:r>
      <w:r w:rsidR="005007A5">
        <w:t xml:space="preserve"> e allo studio dei materiali che si raccoglieranno durante lo scavo</w:t>
      </w:r>
      <w:r>
        <w:t xml:space="preserve">. </w:t>
      </w:r>
      <w:r w:rsidR="005007A5">
        <w:t>Solo dop</w:t>
      </w:r>
      <w:r w:rsidR="00D81023">
        <w:t>o questi interventi saremo in grado di definire</w:t>
      </w:r>
      <w:r w:rsidR="005007A5">
        <w:t xml:space="preserve"> la strategia da adottare </w:t>
      </w:r>
      <w:r w:rsidR="00D81023">
        <w:t xml:space="preserve">nelle indagini </w:t>
      </w:r>
      <w:r w:rsidR="00DF2EFF">
        <w:t>da</w:t>
      </w:r>
      <w:bookmarkStart w:id="0" w:name="_GoBack"/>
      <w:bookmarkEnd w:id="0"/>
      <w:r w:rsidR="00D81023">
        <w:t xml:space="preserve"> condurre nei prossimi anni.</w:t>
      </w:r>
    </w:p>
    <w:p w14:paraId="7D9C4E25" w14:textId="4BBCE36C" w:rsidR="005F7BEA" w:rsidRPr="00CD1683" w:rsidRDefault="005F7BEA" w:rsidP="008E0EAD">
      <w:pPr>
        <w:jc w:val="both"/>
      </w:pPr>
    </w:p>
    <w:sectPr w:rsidR="005F7BEA" w:rsidRPr="00CD168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FE585" w14:textId="77777777" w:rsidR="002350E5" w:rsidRDefault="002350E5" w:rsidP="00C46AB9">
      <w:pPr>
        <w:spacing w:after="0" w:line="240" w:lineRule="auto"/>
      </w:pPr>
      <w:r>
        <w:separator/>
      </w:r>
    </w:p>
  </w:endnote>
  <w:endnote w:type="continuationSeparator" w:id="0">
    <w:p w14:paraId="1840ADD0" w14:textId="77777777" w:rsidR="002350E5" w:rsidRDefault="002350E5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FA3D" w14:textId="77777777" w:rsidR="002350E5" w:rsidRDefault="002350E5" w:rsidP="00C46AB9">
      <w:pPr>
        <w:spacing w:after="0" w:line="240" w:lineRule="auto"/>
      </w:pPr>
      <w:r>
        <w:separator/>
      </w:r>
    </w:p>
  </w:footnote>
  <w:footnote w:type="continuationSeparator" w:id="0">
    <w:p w14:paraId="5942258D" w14:textId="77777777" w:rsidR="002350E5" w:rsidRDefault="002350E5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17E5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14:paraId="3FD96609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14:paraId="122C49CE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14:paraId="481811D7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14:paraId="5E71532C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C9A"/>
    <w:rsid w:val="00031BAF"/>
    <w:rsid w:val="00031DCE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607A"/>
    <w:rsid w:val="000A22F7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E5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B4E"/>
    <w:rsid w:val="003B5174"/>
    <w:rsid w:val="003B58F1"/>
    <w:rsid w:val="003B5CF0"/>
    <w:rsid w:val="003B5CFC"/>
    <w:rsid w:val="003C2745"/>
    <w:rsid w:val="003C7C81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7A5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3045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C1001"/>
    <w:rsid w:val="007C100D"/>
    <w:rsid w:val="007C1D81"/>
    <w:rsid w:val="007C3A3A"/>
    <w:rsid w:val="007C3F58"/>
    <w:rsid w:val="007C5173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9D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2F73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939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3270"/>
    <w:rsid w:val="00D74AFB"/>
    <w:rsid w:val="00D76197"/>
    <w:rsid w:val="00D76688"/>
    <w:rsid w:val="00D76EE6"/>
    <w:rsid w:val="00D776E0"/>
    <w:rsid w:val="00D80F2C"/>
    <w:rsid w:val="00D80FF3"/>
    <w:rsid w:val="00D81023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2EFF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F35E5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Patrizia Basso</cp:lastModifiedBy>
  <cp:revision>13</cp:revision>
  <dcterms:created xsi:type="dcterms:W3CDTF">2016-02-23T07:50:00Z</dcterms:created>
  <dcterms:modified xsi:type="dcterms:W3CDTF">2018-03-06T17:52:00Z</dcterms:modified>
</cp:coreProperties>
</file>