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52" w:rsidRPr="005C4C52" w:rsidRDefault="005C4C52" w:rsidP="005C4C52">
      <w:pPr>
        <w:spacing w:after="0" w:line="240" w:lineRule="auto"/>
        <w:jc w:val="both"/>
        <w:rPr>
          <w:rFonts w:ascii="Times New Roman" w:hAnsi="Times New Roman" w:cs="Times New Roman"/>
          <w:sz w:val="24"/>
          <w:szCs w:val="24"/>
        </w:rPr>
      </w:pPr>
      <w:r w:rsidRPr="005C4C52">
        <w:rPr>
          <w:rFonts w:ascii="Times New Roman" w:hAnsi="Times New Roman" w:cs="Times New Roman"/>
          <w:sz w:val="24"/>
          <w:szCs w:val="24"/>
        </w:rPr>
        <w:t>5- La definizione di specie</w:t>
      </w:r>
    </w:p>
    <w:p w:rsidR="005C4C52" w:rsidRPr="005C4C52" w:rsidRDefault="005C4C52" w:rsidP="005C4C52">
      <w:pPr>
        <w:spacing w:after="0" w:line="240" w:lineRule="auto"/>
        <w:jc w:val="both"/>
        <w:rPr>
          <w:rFonts w:ascii="Times New Roman" w:hAnsi="Times New Roman" w:cs="Times New Roman"/>
          <w:sz w:val="24"/>
          <w:szCs w:val="24"/>
        </w:rPr>
      </w:pPr>
    </w:p>
    <w:p w:rsidR="005C4C52" w:rsidRPr="005C4C52" w:rsidRDefault="005C4C52" w:rsidP="00FA61FE">
      <w:pPr>
        <w:spacing w:after="0" w:line="240" w:lineRule="auto"/>
        <w:ind w:firstLine="708"/>
        <w:jc w:val="both"/>
        <w:rPr>
          <w:rFonts w:ascii="Times New Roman" w:hAnsi="Times New Roman" w:cs="Times New Roman"/>
          <w:sz w:val="24"/>
          <w:szCs w:val="24"/>
        </w:rPr>
      </w:pPr>
      <w:r w:rsidRPr="005C4C52">
        <w:rPr>
          <w:rFonts w:ascii="Times New Roman" w:hAnsi="Times New Roman" w:cs="Times New Roman"/>
          <w:sz w:val="24"/>
          <w:szCs w:val="24"/>
        </w:rPr>
        <w:t>E’ opportuno far comprendere il significato di appartenenza ad un gruppo biologicamente definito (specie), cioè le modalità di riconoscimento quale elemento di coesione soprattutto per garantire una prole e il suo successo. Se ciò non avviene la specie si estingue alla morte dell’ultimo suo rappresentante.</w:t>
      </w:r>
    </w:p>
    <w:p w:rsidR="005C4C52" w:rsidRPr="005C4C52" w:rsidRDefault="005C4C52" w:rsidP="00FA61FE">
      <w:pPr>
        <w:spacing w:after="0" w:line="240" w:lineRule="auto"/>
        <w:ind w:firstLine="708"/>
        <w:jc w:val="both"/>
        <w:rPr>
          <w:rFonts w:ascii="Times New Roman" w:hAnsi="Times New Roman" w:cs="Times New Roman"/>
          <w:sz w:val="24"/>
          <w:szCs w:val="24"/>
        </w:rPr>
      </w:pPr>
      <w:r w:rsidRPr="005C4C52">
        <w:rPr>
          <w:rFonts w:ascii="Times New Roman" w:hAnsi="Times New Roman" w:cs="Times New Roman"/>
          <w:sz w:val="24"/>
          <w:szCs w:val="24"/>
        </w:rPr>
        <w:t>La specie può essere definita in vari modi:</w:t>
      </w:r>
    </w:p>
    <w:p w:rsidR="005C4C52" w:rsidRPr="005C4C52" w:rsidRDefault="005C4C52" w:rsidP="005C4C52">
      <w:pPr>
        <w:spacing w:after="0" w:line="240" w:lineRule="auto"/>
        <w:jc w:val="both"/>
        <w:rPr>
          <w:rFonts w:ascii="Times New Roman" w:hAnsi="Times New Roman" w:cs="Times New Roman"/>
          <w:sz w:val="24"/>
          <w:szCs w:val="24"/>
        </w:rPr>
      </w:pPr>
      <w:r w:rsidRPr="005C4C52">
        <w:rPr>
          <w:rFonts w:ascii="Times New Roman" w:hAnsi="Times New Roman" w:cs="Times New Roman"/>
          <w:sz w:val="24"/>
          <w:szCs w:val="24"/>
        </w:rPr>
        <w:t>-</w:t>
      </w:r>
      <w:r w:rsidRPr="005C4C52">
        <w:rPr>
          <w:rFonts w:ascii="Times New Roman" w:hAnsi="Times New Roman" w:cs="Times New Roman"/>
          <w:sz w:val="24"/>
          <w:szCs w:val="24"/>
        </w:rPr>
        <w:tab/>
      </w:r>
      <w:r w:rsidRPr="00FA61FE">
        <w:rPr>
          <w:rFonts w:ascii="Times New Roman" w:hAnsi="Times New Roman" w:cs="Times New Roman"/>
          <w:sz w:val="24"/>
          <w:szCs w:val="24"/>
          <w:highlight w:val="yellow"/>
        </w:rPr>
        <w:t>Criterio morfologico</w:t>
      </w:r>
      <w:r w:rsidRPr="005C4C52">
        <w:rPr>
          <w:rFonts w:ascii="Times New Roman" w:hAnsi="Times New Roman" w:cs="Times New Roman"/>
          <w:sz w:val="24"/>
          <w:szCs w:val="24"/>
        </w:rPr>
        <w:t>: due individui appartengono alla stessa specie se sono morfologicamente uguali; è un metodo intuitivo e immediato che applichiamo tutti i giorni, ma non sempre corrisponde al vero come ad esempio per il cane caratterizzato da molte razze morfologicamente molto differenti; in altri casi invece individui sostanzialmente identici appartengono a specie distinte, soprattutto man mano che si scende nella scala degli esseri viventi. Questo criterio è a</w:t>
      </w:r>
      <w:r w:rsidRPr="00FA61FE">
        <w:rPr>
          <w:rFonts w:ascii="Times New Roman" w:hAnsi="Times New Roman" w:cs="Times New Roman"/>
          <w:sz w:val="24"/>
          <w:szCs w:val="24"/>
          <w:highlight w:val="yellow"/>
        </w:rPr>
        <w:t>dottato in ambito paleontologico</w:t>
      </w:r>
      <w:r w:rsidRPr="005C4C52">
        <w:rPr>
          <w:rFonts w:ascii="Times New Roman" w:hAnsi="Times New Roman" w:cs="Times New Roman"/>
          <w:sz w:val="24"/>
          <w:szCs w:val="24"/>
        </w:rPr>
        <w:t xml:space="preserve">, d’altra parte è l’unico che si può applicare per la definizione tassonomica dei resti fossili, come ad esempio di quei vertebrati dei quali sono noti solo reperti ossei. Col criterio morfologico sono state definite le specie della nostra ominazione (esempio </w:t>
      </w:r>
      <w:r w:rsidRPr="00FA61FE">
        <w:rPr>
          <w:rFonts w:ascii="Times New Roman" w:hAnsi="Times New Roman" w:cs="Times New Roman"/>
          <w:i/>
          <w:sz w:val="24"/>
          <w:szCs w:val="24"/>
        </w:rPr>
        <w:t xml:space="preserve">H. </w:t>
      </w:r>
      <w:proofErr w:type="spellStart"/>
      <w:r w:rsidRPr="00FA61FE">
        <w:rPr>
          <w:rFonts w:ascii="Times New Roman" w:hAnsi="Times New Roman" w:cs="Times New Roman"/>
          <w:i/>
          <w:sz w:val="24"/>
          <w:szCs w:val="24"/>
        </w:rPr>
        <w:t>habilis</w:t>
      </w:r>
      <w:proofErr w:type="spellEnd"/>
      <w:r w:rsidRPr="00FA61FE">
        <w:rPr>
          <w:rFonts w:ascii="Times New Roman" w:hAnsi="Times New Roman" w:cs="Times New Roman"/>
          <w:i/>
          <w:sz w:val="24"/>
          <w:szCs w:val="24"/>
        </w:rPr>
        <w:t xml:space="preserve">, H. </w:t>
      </w:r>
      <w:proofErr w:type="spellStart"/>
      <w:r w:rsidRPr="00FA61FE">
        <w:rPr>
          <w:rFonts w:ascii="Times New Roman" w:hAnsi="Times New Roman" w:cs="Times New Roman"/>
          <w:i/>
          <w:sz w:val="24"/>
          <w:szCs w:val="24"/>
        </w:rPr>
        <w:t>erectus</w:t>
      </w:r>
      <w:proofErr w:type="spellEnd"/>
      <w:r w:rsidRPr="00FA61FE">
        <w:rPr>
          <w:rFonts w:ascii="Times New Roman" w:hAnsi="Times New Roman" w:cs="Times New Roman"/>
          <w:i/>
          <w:sz w:val="24"/>
          <w:szCs w:val="24"/>
        </w:rPr>
        <w:t xml:space="preserve">, H. </w:t>
      </w:r>
      <w:proofErr w:type="spellStart"/>
      <w:r w:rsidRPr="00FA61FE">
        <w:rPr>
          <w:rFonts w:ascii="Times New Roman" w:hAnsi="Times New Roman" w:cs="Times New Roman"/>
          <w:i/>
          <w:sz w:val="24"/>
          <w:szCs w:val="24"/>
        </w:rPr>
        <w:t>neanderthalensis</w:t>
      </w:r>
      <w:proofErr w:type="spellEnd"/>
      <w:r w:rsidRPr="005C4C52">
        <w:rPr>
          <w:rFonts w:ascii="Times New Roman" w:hAnsi="Times New Roman" w:cs="Times New Roman"/>
          <w:sz w:val="24"/>
          <w:szCs w:val="24"/>
        </w:rPr>
        <w:t>, ecc.).</w:t>
      </w:r>
    </w:p>
    <w:p w:rsidR="005C4C52" w:rsidRPr="005C4C52" w:rsidRDefault="005C4C52" w:rsidP="005C4C52">
      <w:pPr>
        <w:spacing w:after="0" w:line="240" w:lineRule="auto"/>
        <w:jc w:val="both"/>
        <w:rPr>
          <w:rFonts w:ascii="Times New Roman" w:hAnsi="Times New Roman" w:cs="Times New Roman"/>
          <w:sz w:val="24"/>
          <w:szCs w:val="24"/>
        </w:rPr>
      </w:pPr>
      <w:r w:rsidRPr="005C4C52">
        <w:rPr>
          <w:rFonts w:ascii="Times New Roman" w:hAnsi="Times New Roman" w:cs="Times New Roman"/>
          <w:sz w:val="24"/>
          <w:szCs w:val="24"/>
        </w:rPr>
        <w:t>-</w:t>
      </w:r>
      <w:r w:rsidRPr="005C4C52">
        <w:rPr>
          <w:rFonts w:ascii="Times New Roman" w:hAnsi="Times New Roman" w:cs="Times New Roman"/>
          <w:sz w:val="24"/>
          <w:szCs w:val="24"/>
        </w:rPr>
        <w:tab/>
      </w:r>
      <w:r w:rsidRPr="00FA61FE">
        <w:rPr>
          <w:rFonts w:ascii="Times New Roman" w:hAnsi="Times New Roman" w:cs="Times New Roman"/>
          <w:sz w:val="24"/>
          <w:szCs w:val="24"/>
          <w:highlight w:val="yellow"/>
        </w:rPr>
        <w:t>Criterio fisiologico (</w:t>
      </w:r>
      <w:proofErr w:type="spellStart"/>
      <w:r w:rsidRPr="00FA61FE">
        <w:rPr>
          <w:rFonts w:ascii="Times New Roman" w:hAnsi="Times New Roman" w:cs="Times New Roman"/>
          <w:sz w:val="24"/>
          <w:szCs w:val="24"/>
          <w:highlight w:val="yellow"/>
        </w:rPr>
        <w:t>missiologico</w:t>
      </w:r>
      <w:proofErr w:type="spellEnd"/>
      <w:r w:rsidRPr="00FA61FE">
        <w:rPr>
          <w:rFonts w:ascii="Times New Roman" w:hAnsi="Times New Roman" w:cs="Times New Roman"/>
          <w:sz w:val="24"/>
          <w:szCs w:val="24"/>
          <w:highlight w:val="yellow"/>
        </w:rPr>
        <w:t>) o criterio dell’interfecondità</w:t>
      </w:r>
      <w:r w:rsidRPr="005C4C52">
        <w:rPr>
          <w:rFonts w:ascii="Times New Roman" w:hAnsi="Times New Roman" w:cs="Times New Roman"/>
          <w:sz w:val="24"/>
          <w:szCs w:val="24"/>
        </w:rPr>
        <w:t xml:space="preserve">: due individui appartengono alla stessa specie se sono interfecondi </w:t>
      </w:r>
      <w:r w:rsidRPr="00E978D1">
        <w:rPr>
          <w:rFonts w:ascii="Times New Roman" w:hAnsi="Times New Roman" w:cs="Times New Roman"/>
          <w:sz w:val="24"/>
          <w:szCs w:val="24"/>
          <w:highlight w:val="cyan"/>
        </w:rPr>
        <w:t>con prole feconda.</w:t>
      </w:r>
    </w:p>
    <w:p w:rsidR="005C4C52" w:rsidRPr="005C4C52" w:rsidRDefault="005C4C52" w:rsidP="005C4C52">
      <w:pPr>
        <w:spacing w:after="0" w:line="240" w:lineRule="auto"/>
        <w:jc w:val="both"/>
        <w:rPr>
          <w:rFonts w:ascii="Times New Roman" w:hAnsi="Times New Roman" w:cs="Times New Roman"/>
          <w:sz w:val="24"/>
          <w:szCs w:val="24"/>
        </w:rPr>
      </w:pPr>
      <w:r w:rsidRPr="005C4C52">
        <w:rPr>
          <w:rFonts w:ascii="Times New Roman" w:hAnsi="Times New Roman" w:cs="Times New Roman"/>
          <w:sz w:val="24"/>
          <w:szCs w:val="24"/>
        </w:rPr>
        <w:t>-</w:t>
      </w:r>
      <w:r w:rsidRPr="005C4C52">
        <w:rPr>
          <w:rFonts w:ascii="Times New Roman" w:hAnsi="Times New Roman" w:cs="Times New Roman"/>
          <w:sz w:val="24"/>
          <w:szCs w:val="24"/>
        </w:rPr>
        <w:tab/>
      </w:r>
      <w:r w:rsidRPr="00FA61FE">
        <w:rPr>
          <w:rFonts w:ascii="Times New Roman" w:hAnsi="Times New Roman" w:cs="Times New Roman"/>
          <w:sz w:val="24"/>
          <w:szCs w:val="24"/>
          <w:highlight w:val="yellow"/>
        </w:rPr>
        <w:t>Criterio genetico (</w:t>
      </w:r>
      <w:proofErr w:type="spellStart"/>
      <w:r w:rsidRPr="00FA61FE">
        <w:rPr>
          <w:rFonts w:ascii="Times New Roman" w:hAnsi="Times New Roman" w:cs="Times New Roman"/>
          <w:sz w:val="24"/>
          <w:szCs w:val="24"/>
          <w:highlight w:val="yellow"/>
        </w:rPr>
        <w:t>cariologico</w:t>
      </w:r>
      <w:proofErr w:type="spellEnd"/>
      <w:r w:rsidRPr="00FA61FE">
        <w:rPr>
          <w:rFonts w:ascii="Times New Roman" w:hAnsi="Times New Roman" w:cs="Times New Roman"/>
          <w:sz w:val="24"/>
          <w:szCs w:val="24"/>
          <w:highlight w:val="yellow"/>
        </w:rPr>
        <w:t>),</w:t>
      </w:r>
      <w:r w:rsidRPr="005C4C52">
        <w:rPr>
          <w:rFonts w:ascii="Times New Roman" w:hAnsi="Times New Roman" w:cs="Times New Roman"/>
          <w:sz w:val="24"/>
          <w:szCs w:val="24"/>
        </w:rPr>
        <w:t xml:space="preserve"> valido ma difficile da testare sistematicamente su tutti gli esseri viventi; può essere applicato ad un campione del gruppo in esame per verificarne statisticamente l’omogeneità e il livello di diversità. Questo criterio è stato applicato per definire la distanza genetica tra l’Uomo di </w:t>
      </w:r>
      <w:proofErr w:type="spellStart"/>
      <w:r w:rsidRPr="005C4C52">
        <w:rPr>
          <w:rFonts w:ascii="Times New Roman" w:hAnsi="Times New Roman" w:cs="Times New Roman"/>
          <w:sz w:val="24"/>
          <w:szCs w:val="24"/>
        </w:rPr>
        <w:t>Neandertal</w:t>
      </w:r>
      <w:proofErr w:type="spellEnd"/>
      <w:r w:rsidRPr="005C4C52">
        <w:rPr>
          <w:rFonts w:ascii="Times New Roman" w:hAnsi="Times New Roman" w:cs="Times New Roman"/>
          <w:sz w:val="24"/>
          <w:szCs w:val="24"/>
        </w:rPr>
        <w:t xml:space="preserve"> e l’Uomo moderno; l’analisi definisce i due gruppi come specie distinte essendo i caratteri genetici rilevati sufficientemente differenti.</w:t>
      </w:r>
    </w:p>
    <w:p w:rsidR="005C4C52" w:rsidRPr="005C4C52" w:rsidRDefault="005C4C52" w:rsidP="005C4C52">
      <w:pPr>
        <w:spacing w:after="0" w:line="240" w:lineRule="auto"/>
        <w:jc w:val="both"/>
        <w:rPr>
          <w:rFonts w:ascii="Times New Roman" w:hAnsi="Times New Roman" w:cs="Times New Roman"/>
          <w:sz w:val="24"/>
          <w:szCs w:val="24"/>
        </w:rPr>
      </w:pPr>
      <w:r w:rsidRPr="005C4C52">
        <w:rPr>
          <w:rFonts w:ascii="Times New Roman" w:hAnsi="Times New Roman" w:cs="Times New Roman"/>
          <w:sz w:val="24"/>
          <w:szCs w:val="24"/>
        </w:rPr>
        <w:t>-</w:t>
      </w:r>
      <w:r w:rsidRPr="005C4C52">
        <w:rPr>
          <w:rFonts w:ascii="Times New Roman" w:hAnsi="Times New Roman" w:cs="Times New Roman"/>
          <w:sz w:val="24"/>
          <w:szCs w:val="24"/>
        </w:rPr>
        <w:tab/>
      </w:r>
      <w:r w:rsidRPr="00FA61FE">
        <w:rPr>
          <w:rFonts w:ascii="Times New Roman" w:hAnsi="Times New Roman" w:cs="Times New Roman"/>
          <w:sz w:val="24"/>
          <w:szCs w:val="24"/>
          <w:highlight w:val="yellow"/>
        </w:rPr>
        <w:t>Criterio biologico</w:t>
      </w:r>
      <w:r w:rsidRPr="005C4C52">
        <w:rPr>
          <w:rFonts w:ascii="Times New Roman" w:hAnsi="Times New Roman" w:cs="Times New Roman"/>
          <w:sz w:val="24"/>
          <w:szCs w:val="24"/>
        </w:rPr>
        <w:t>: è considerato il più organico e comunque dinamico modo di identificazione di una specie; si avvale delle seguenti capacità di definizione:</w:t>
      </w:r>
    </w:p>
    <w:p w:rsidR="005C4C52" w:rsidRPr="005C4C52" w:rsidRDefault="005C4C52" w:rsidP="005C4C52">
      <w:pPr>
        <w:spacing w:after="0" w:line="240" w:lineRule="auto"/>
        <w:jc w:val="both"/>
        <w:rPr>
          <w:rFonts w:ascii="Times New Roman" w:hAnsi="Times New Roman" w:cs="Times New Roman"/>
          <w:sz w:val="24"/>
          <w:szCs w:val="24"/>
        </w:rPr>
      </w:pPr>
      <w:r w:rsidRPr="005C4C52">
        <w:rPr>
          <w:rFonts w:ascii="Times New Roman" w:hAnsi="Times New Roman" w:cs="Times New Roman"/>
          <w:sz w:val="24"/>
          <w:szCs w:val="24"/>
        </w:rPr>
        <w:t>-</w:t>
      </w:r>
      <w:r w:rsidRPr="005C4C52">
        <w:rPr>
          <w:rFonts w:ascii="Times New Roman" w:hAnsi="Times New Roman" w:cs="Times New Roman"/>
          <w:sz w:val="24"/>
          <w:szCs w:val="24"/>
        </w:rPr>
        <w:tab/>
      </w:r>
      <w:r w:rsidRPr="00FA61FE">
        <w:rPr>
          <w:rFonts w:ascii="Times New Roman" w:hAnsi="Times New Roman" w:cs="Times New Roman"/>
          <w:sz w:val="24"/>
          <w:szCs w:val="24"/>
          <w:highlight w:val="cyan"/>
        </w:rPr>
        <w:t>facoltà di discriminazione</w:t>
      </w:r>
      <w:r w:rsidRPr="005C4C52">
        <w:rPr>
          <w:rFonts w:ascii="Times New Roman" w:hAnsi="Times New Roman" w:cs="Times New Roman"/>
          <w:sz w:val="24"/>
          <w:szCs w:val="24"/>
        </w:rPr>
        <w:t xml:space="preserve">, fattore sostanzialmente di ordine comportamentale in quanto la scelta del partner va oltre il limite imposto dalla conoscenza dei fattori di ordine biologico (imprinting); rappresenta un fattore importante di scelta sulla base della </w:t>
      </w:r>
      <w:r w:rsidRPr="00661344">
        <w:rPr>
          <w:rFonts w:ascii="Times New Roman" w:hAnsi="Times New Roman" w:cs="Times New Roman"/>
          <w:sz w:val="24"/>
          <w:szCs w:val="24"/>
          <w:highlight w:val="green"/>
        </w:rPr>
        <w:t>capacità di riconoscersi in un determinato gruppo</w:t>
      </w:r>
      <w:r w:rsidRPr="005C4C52">
        <w:rPr>
          <w:rFonts w:ascii="Times New Roman" w:hAnsi="Times New Roman" w:cs="Times New Roman"/>
          <w:sz w:val="24"/>
          <w:szCs w:val="24"/>
        </w:rPr>
        <w:t xml:space="preserve">. Nel caso dell’uomo possibili discriminanti di vario tipo (sociali, economiche, fisiche, religiose, ecc.) danno origine al rifiuto e quindi a possibili atteggiamenti riconducibili al razzismo. </w:t>
      </w:r>
    </w:p>
    <w:p w:rsidR="005C4C52" w:rsidRPr="005C4C52" w:rsidRDefault="005C4C52" w:rsidP="005C4C52">
      <w:pPr>
        <w:spacing w:after="0" w:line="240" w:lineRule="auto"/>
        <w:jc w:val="both"/>
        <w:rPr>
          <w:rFonts w:ascii="Times New Roman" w:hAnsi="Times New Roman" w:cs="Times New Roman"/>
          <w:sz w:val="24"/>
          <w:szCs w:val="24"/>
        </w:rPr>
      </w:pPr>
      <w:r w:rsidRPr="005C4C52">
        <w:rPr>
          <w:rFonts w:ascii="Times New Roman" w:hAnsi="Times New Roman" w:cs="Times New Roman"/>
          <w:sz w:val="24"/>
          <w:szCs w:val="24"/>
        </w:rPr>
        <w:t>-</w:t>
      </w:r>
      <w:r w:rsidRPr="005C4C52">
        <w:rPr>
          <w:rFonts w:ascii="Times New Roman" w:hAnsi="Times New Roman" w:cs="Times New Roman"/>
          <w:sz w:val="24"/>
          <w:szCs w:val="24"/>
        </w:rPr>
        <w:tab/>
      </w:r>
      <w:r w:rsidRPr="00FA61FE">
        <w:rPr>
          <w:rFonts w:ascii="Times New Roman" w:hAnsi="Times New Roman" w:cs="Times New Roman"/>
          <w:sz w:val="24"/>
          <w:szCs w:val="24"/>
          <w:highlight w:val="cyan"/>
        </w:rPr>
        <w:t>coesione genetica</w:t>
      </w:r>
      <w:r w:rsidRPr="005C4C52">
        <w:rPr>
          <w:rFonts w:ascii="Times New Roman" w:hAnsi="Times New Roman" w:cs="Times New Roman"/>
          <w:sz w:val="24"/>
          <w:szCs w:val="24"/>
        </w:rPr>
        <w:t>, necessaria e comunque vincolo inalienabile per la sopravvivenza della specie; in sostanza chi sbaglia modalità di scelta del partner su basi genetiche non ha discendenza e si estingue;</w:t>
      </w:r>
    </w:p>
    <w:p w:rsidR="005C4C52" w:rsidRPr="005C4C52" w:rsidRDefault="005C4C52" w:rsidP="005C4C52">
      <w:pPr>
        <w:spacing w:after="0" w:line="240" w:lineRule="auto"/>
        <w:jc w:val="both"/>
        <w:rPr>
          <w:rFonts w:ascii="Times New Roman" w:hAnsi="Times New Roman" w:cs="Times New Roman"/>
          <w:sz w:val="24"/>
          <w:szCs w:val="24"/>
        </w:rPr>
      </w:pPr>
      <w:r w:rsidRPr="005C4C52">
        <w:rPr>
          <w:rFonts w:ascii="Times New Roman" w:hAnsi="Times New Roman" w:cs="Times New Roman"/>
          <w:sz w:val="24"/>
          <w:szCs w:val="24"/>
        </w:rPr>
        <w:t>-</w:t>
      </w:r>
      <w:r w:rsidRPr="005C4C52">
        <w:rPr>
          <w:rFonts w:ascii="Times New Roman" w:hAnsi="Times New Roman" w:cs="Times New Roman"/>
          <w:sz w:val="24"/>
          <w:szCs w:val="24"/>
        </w:rPr>
        <w:tab/>
      </w:r>
      <w:r w:rsidRPr="00FA61FE">
        <w:rPr>
          <w:rFonts w:ascii="Times New Roman" w:hAnsi="Times New Roman" w:cs="Times New Roman"/>
          <w:sz w:val="24"/>
          <w:szCs w:val="24"/>
          <w:highlight w:val="cyan"/>
        </w:rPr>
        <w:t>interazione ecologica con altre specie</w:t>
      </w:r>
      <w:r w:rsidRPr="005C4C52">
        <w:rPr>
          <w:rFonts w:ascii="Times New Roman" w:hAnsi="Times New Roman" w:cs="Times New Roman"/>
          <w:sz w:val="24"/>
          <w:szCs w:val="24"/>
        </w:rPr>
        <w:t xml:space="preserve">, </w:t>
      </w:r>
      <w:bookmarkStart w:id="0" w:name="_GoBack"/>
      <w:bookmarkEnd w:id="0"/>
      <w:r w:rsidRPr="005C4C52">
        <w:rPr>
          <w:rFonts w:ascii="Times New Roman" w:hAnsi="Times New Roman" w:cs="Times New Roman"/>
          <w:sz w:val="24"/>
          <w:szCs w:val="24"/>
        </w:rPr>
        <w:t>rappresentata dalla capacità di mantenersi unici sul piano comportamentale e genetico pur nell’ambito dell’interazione continua con altre specie.</w:t>
      </w:r>
    </w:p>
    <w:p w:rsidR="005C4C52" w:rsidRPr="005C4C52" w:rsidRDefault="005C4C52" w:rsidP="005C4C52">
      <w:pPr>
        <w:spacing w:after="0" w:line="240" w:lineRule="auto"/>
        <w:jc w:val="both"/>
        <w:rPr>
          <w:rFonts w:ascii="Times New Roman" w:hAnsi="Times New Roman" w:cs="Times New Roman"/>
          <w:sz w:val="24"/>
          <w:szCs w:val="24"/>
        </w:rPr>
      </w:pPr>
    </w:p>
    <w:p w:rsidR="00A9614A" w:rsidRPr="005C4C52" w:rsidRDefault="005C4C52" w:rsidP="00FA61FE">
      <w:pPr>
        <w:spacing w:after="0" w:line="240" w:lineRule="auto"/>
        <w:ind w:firstLine="708"/>
        <w:jc w:val="both"/>
        <w:rPr>
          <w:rFonts w:ascii="Times New Roman" w:hAnsi="Times New Roman" w:cs="Times New Roman"/>
          <w:sz w:val="24"/>
          <w:szCs w:val="24"/>
        </w:rPr>
      </w:pPr>
      <w:r w:rsidRPr="005C4C52">
        <w:rPr>
          <w:rFonts w:ascii="Times New Roman" w:hAnsi="Times New Roman" w:cs="Times New Roman"/>
          <w:sz w:val="24"/>
          <w:szCs w:val="24"/>
        </w:rPr>
        <w:t>La divisone sottostante è la sottospecie, definita con criteri spesso non oggettivi e comunque spesso solo su basi morfologiche. In genere la verifica di ordine genetico non conferma le osservazioni fenotipiche.</w:t>
      </w:r>
    </w:p>
    <w:sectPr w:rsidR="00A9614A" w:rsidRPr="005C4C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52"/>
    <w:rsid w:val="001D4C13"/>
    <w:rsid w:val="002E03C9"/>
    <w:rsid w:val="004701A6"/>
    <w:rsid w:val="00525028"/>
    <w:rsid w:val="00546CDC"/>
    <w:rsid w:val="00583DBA"/>
    <w:rsid w:val="005A71DB"/>
    <w:rsid w:val="005C4C52"/>
    <w:rsid w:val="00661344"/>
    <w:rsid w:val="00734046"/>
    <w:rsid w:val="00975BF5"/>
    <w:rsid w:val="00A9614A"/>
    <w:rsid w:val="00A968CC"/>
    <w:rsid w:val="00B9052F"/>
    <w:rsid w:val="00BE1FE0"/>
    <w:rsid w:val="00C0436F"/>
    <w:rsid w:val="00CB7091"/>
    <w:rsid w:val="00E30590"/>
    <w:rsid w:val="00E978D1"/>
    <w:rsid w:val="00ED3B80"/>
    <w:rsid w:val="00FA61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462</Words>
  <Characters>2638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docente</cp:lastModifiedBy>
  <cp:revision>4</cp:revision>
  <dcterms:created xsi:type="dcterms:W3CDTF">2017-10-25T06:37:00Z</dcterms:created>
  <dcterms:modified xsi:type="dcterms:W3CDTF">2017-10-25T13:24:00Z</dcterms:modified>
</cp:coreProperties>
</file>