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D9" w:rsidRDefault="005330D9" w:rsidP="005330D9">
      <w:pPr>
        <w:spacing w:line="360" w:lineRule="auto"/>
        <w:jc w:val="center"/>
        <w:rPr>
          <w:rFonts w:ascii="Bookman Old Style" w:hAnsi="Bookman Old Style"/>
          <w:u w:val="single"/>
        </w:rPr>
      </w:pPr>
      <w:r>
        <w:rPr>
          <w:rFonts w:ascii="Bookman Old Style" w:hAnsi="Bookman Old Style"/>
          <w:u w:val="single"/>
        </w:rPr>
        <w:t>IL RAPPORTO DI LAVORO SUBORDINATO</w:t>
      </w:r>
    </w:p>
    <w:p w:rsidR="005330D9" w:rsidRDefault="005330D9" w:rsidP="005330D9">
      <w:pPr>
        <w:spacing w:line="360" w:lineRule="auto"/>
        <w:jc w:val="both"/>
        <w:rPr>
          <w:rFonts w:ascii="Bookman Old Style" w:hAnsi="Bookman Old Style"/>
        </w:rPr>
      </w:pPr>
    </w:p>
    <w:p w:rsidR="00020DB2" w:rsidRPr="005330D9" w:rsidRDefault="00020DB2" w:rsidP="00020DB2">
      <w:pPr>
        <w:spacing w:line="360" w:lineRule="auto"/>
        <w:jc w:val="both"/>
        <w:rPr>
          <w:rFonts w:ascii="Bookman Old Style" w:hAnsi="Bookman Old Style"/>
        </w:rPr>
      </w:pPr>
      <w:r w:rsidRPr="00AF1422">
        <w:rPr>
          <w:rFonts w:ascii="Bookman Old Style" w:hAnsi="Bookman Old Style"/>
          <w:b/>
          <w:u w:val="single"/>
        </w:rPr>
        <w:t>LA COSTITUZIONE DEL RAPPORTO DI LAVORO</w:t>
      </w:r>
      <w:r>
        <w:rPr>
          <w:rFonts w:ascii="Bookman Old Style" w:hAnsi="Bookman Old Style"/>
        </w:rPr>
        <w:t>:</w:t>
      </w:r>
    </w:p>
    <w:p w:rsidR="00020DB2" w:rsidRPr="005330D9" w:rsidRDefault="00020DB2" w:rsidP="00020DB2">
      <w:pPr>
        <w:pStyle w:val="Paragrafoelenco"/>
        <w:numPr>
          <w:ilvl w:val="0"/>
          <w:numId w:val="1"/>
        </w:numPr>
        <w:spacing w:line="360" w:lineRule="auto"/>
        <w:jc w:val="both"/>
        <w:rPr>
          <w:rFonts w:ascii="Bookman Old Style" w:hAnsi="Bookman Old Style"/>
        </w:rPr>
      </w:pPr>
      <w:r w:rsidRPr="005330D9">
        <w:rPr>
          <w:rFonts w:ascii="Bookman Old Style" w:hAnsi="Bookman Old Style"/>
        </w:rPr>
        <w:t>CONTRATTO E RAPPORTO DI LAVORO</w:t>
      </w:r>
    </w:p>
    <w:p w:rsidR="00020DB2" w:rsidRDefault="00020DB2" w:rsidP="00020DB2">
      <w:pPr>
        <w:pStyle w:val="Paragrafoelenco"/>
        <w:numPr>
          <w:ilvl w:val="0"/>
          <w:numId w:val="1"/>
        </w:numPr>
        <w:spacing w:line="360" w:lineRule="auto"/>
        <w:jc w:val="both"/>
        <w:rPr>
          <w:rFonts w:ascii="Bookman Old Style" w:hAnsi="Bookman Old Style"/>
        </w:rPr>
      </w:pPr>
      <w:r w:rsidRPr="00020DB2">
        <w:rPr>
          <w:rFonts w:ascii="Bookman Old Style" w:hAnsi="Bookman Old Style"/>
        </w:rPr>
        <w:t>FORMA E CONTENUTO</w:t>
      </w:r>
      <w:r>
        <w:rPr>
          <w:rFonts w:ascii="Bookman Old Style" w:hAnsi="Bookman Old Style"/>
        </w:rPr>
        <w:t>.</w:t>
      </w:r>
    </w:p>
    <w:p w:rsidR="00AC1C45" w:rsidRDefault="00AC1C45" w:rsidP="00AF1422">
      <w:pPr>
        <w:pStyle w:val="Paragrafoelenco"/>
        <w:spacing w:line="360" w:lineRule="auto"/>
        <w:jc w:val="both"/>
        <w:rPr>
          <w:rFonts w:ascii="Bookman Old Style" w:hAnsi="Bookman Old Style"/>
        </w:rPr>
      </w:pPr>
    </w:p>
    <w:p w:rsidR="00AC1C45" w:rsidRDefault="00AC1C45" w:rsidP="00AF1422">
      <w:pPr>
        <w:pStyle w:val="Paragrafoelenco"/>
        <w:spacing w:line="360" w:lineRule="auto"/>
        <w:jc w:val="both"/>
        <w:rPr>
          <w:rFonts w:ascii="Bookman Old Style" w:hAnsi="Bookman Old Style"/>
        </w:rPr>
      </w:pPr>
    </w:p>
    <w:p w:rsidR="008E6307" w:rsidRPr="008E6307" w:rsidRDefault="008E6307" w:rsidP="008E6307">
      <w:pPr>
        <w:spacing w:line="360" w:lineRule="auto"/>
        <w:jc w:val="both"/>
        <w:rPr>
          <w:rFonts w:ascii="Bookman Old Style" w:hAnsi="Bookman Old Style"/>
        </w:rPr>
      </w:pPr>
      <w:r w:rsidRPr="008E6307">
        <w:rPr>
          <w:rFonts w:ascii="Bookman Old Style" w:hAnsi="Bookman Old Style"/>
        </w:rPr>
        <w:t>c.c. art. 2126. Prestazione di fatto con violazione di legge.</w:t>
      </w:r>
    </w:p>
    <w:p w:rsidR="008E6307" w:rsidRPr="008E6307" w:rsidRDefault="008E6307" w:rsidP="008E6307">
      <w:pPr>
        <w:spacing w:line="360" w:lineRule="auto"/>
        <w:jc w:val="both"/>
        <w:rPr>
          <w:rFonts w:ascii="Bookman Old Style" w:hAnsi="Bookman Old Style"/>
        </w:rPr>
      </w:pPr>
      <w:r w:rsidRPr="008E6307">
        <w:rPr>
          <w:rFonts w:ascii="Bookman Old Style" w:hAnsi="Bookman Old Style"/>
        </w:rPr>
        <w:t>La nullità o l'annullamento del contratto di lavoro non produce effetto per il periodo in cui il rapporto ha avuto esecuzione, salvo che la nullità derivi dall'illiceità dell'oggetto o della causa</w:t>
      </w:r>
      <w:r>
        <w:rPr>
          <w:rFonts w:ascii="Bookman Old Style" w:hAnsi="Bookman Old Style"/>
        </w:rPr>
        <w:t>.</w:t>
      </w:r>
    </w:p>
    <w:p w:rsidR="008E6307" w:rsidRDefault="008E6307" w:rsidP="008E6307">
      <w:pPr>
        <w:spacing w:line="360" w:lineRule="auto"/>
        <w:jc w:val="both"/>
        <w:rPr>
          <w:rFonts w:ascii="Bookman Old Style" w:hAnsi="Bookman Old Style"/>
        </w:rPr>
      </w:pPr>
      <w:r w:rsidRPr="008E6307">
        <w:rPr>
          <w:rFonts w:ascii="Bookman Old Style" w:hAnsi="Bookman Old Style"/>
        </w:rPr>
        <w:t>Se il lavoro è stato prestato con violazione di norme poste a tutela del prestatore di lavoro, questi ha in ogni caso diritto alla retribuzione.</w:t>
      </w:r>
    </w:p>
    <w:p w:rsidR="00C2482F" w:rsidRDefault="00C2482F" w:rsidP="008E6307">
      <w:pPr>
        <w:spacing w:line="360" w:lineRule="auto"/>
        <w:jc w:val="both"/>
        <w:rPr>
          <w:rFonts w:ascii="Bookman Old Style" w:hAnsi="Bookman Old Style"/>
        </w:rPr>
      </w:pPr>
      <w:r w:rsidRPr="00C2482F">
        <w:rPr>
          <w:rFonts w:ascii="Bookman Old Style" w:hAnsi="Bookman Old Style"/>
        </w:rPr>
        <w:t>L'attività subordinata svolta come redattore in esecuzione di un contratto di lavoro nullo (nella specie, per mancanza dell'iscrizione nell'elenco dei professionisti) fa maturare in capo al giornalista il diritto di trattenere le retribuzioni percepite per il periodo di durata del rapporto e il diritto al versamento dei contributi, ma non il diritto di continuare a svolgere la prestazione, né il diritt</w:t>
      </w:r>
      <w:r>
        <w:rPr>
          <w:rFonts w:ascii="Bookman Old Style" w:hAnsi="Bookman Old Style"/>
        </w:rPr>
        <w:t>o alla reintegrazione nel posto (</w:t>
      </w:r>
      <w:proofErr w:type="spellStart"/>
      <w:r w:rsidRPr="00C2482F">
        <w:rPr>
          <w:rFonts w:ascii="Bookman Old Style" w:hAnsi="Bookman Old Style"/>
        </w:rPr>
        <w:t>Cass</w:t>
      </w:r>
      <w:proofErr w:type="spellEnd"/>
      <w:r w:rsidRPr="00C2482F">
        <w:rPr>
          <w:rFonts w:ascii="Bookman Old Style" w:hAnsi="Bookman Old Style"/>
        </w:rPr>
        <w:t>. civ. Sez. lavoro, 25/06/2009, n. 14913</w:t>
      </w:r>
      <w:r>
        <w:rPr>
          <w:rFonts w:ascii="Bookman Old Style" w:hAnsi="Bookman Old Style"/>
        </w:rPr>
        <w:t>).</w:t>
      </w:r>
    </w:p>
    <w:p w:rsidR="00C2482F" w:rsidRDefault="00C2482F" w:rsidP="008E6307">
      <w:pPr>
        <w:spacing w:line="360" w:lineRule="auto"/>
        <w:jc w:val="both"/>
        <w:rPr>
          <w:rFonts w:ascii="Bookman Old Style" w:hAnsi="Bookman Old Style"/>
        </w:rPr>
      </w:pPr>
    </w:p>
    <w:p w:rsidR="00844FF6" w:rsidRPr="00844FF6" w:rsidRDefault="00844FF6" w:rsidP="00844FF6">
      <w:pPr>
        <w:spacing w:line="360" w:lineRule="auto"/>
        <w:jc w:val="both"/>
        <w:rPr>
          <w:rFonts w:ascii="Bookman Old Style" w:hAnsi="Bookman Old Style"/>
        </w:rPr>
      </w:pPr>
      <w:r w:rsidRPr="00844FF6">
        <w:rPr>
          <w:rFonts w:ascii="Bookman Old Style" w:hAnsi="Bookman Old Style"/>
        </w:rPr>
        <w:t>c.c. art. 2096. Assunzione in prova.</w:t>
      </w:r>
    </w:p>
    <w:p w:rsidR="00844FF6" w:rsidRPr="00844FF6" w:rsidRDefault="00756C88" w:rsidP="00844FF6">
      <w:pPr>
        <w:spacing w:line="360" w:lineRule="auto"/>
        <w:jc w:val="both"/>
        <w:rPr>
          <w:rFonts w:ascii="Bookman Old Style" w:hAnsi="Bookman Old Style"/>
        </w:rPr>
      </w:pPr>
      <w:r>
        <w:rPr>
          <w:rFonts w:ascii="Bookman Old Style" w:hAnsi="Bookman Old Style"/>
        </w:rPr>
        <w:t xml:space="preserve">(…) </w:t>
      </w:r>
      <w:r w:rsidR="00844FF6" w:rsidRPr="00844FF6">
        <w:rPr>
          <w:rFonts w:ascii="Bookman Old Style" w:hAnsi="Bookman Old Style"/>
        </w:rPr>
        <w:t>l'assunzione del prestatore di lavoro per un periodo di prova deve risultare da atto scritto.</w:t>
      </w:r>
    </w:p>
    <w:p w:rsidR="00844FF6" w:rsidRPr="00844FF6" w:rsidRDefault="00844FF6" w:rsidP="00844FF6">
      <w:pPr>
        <w:spacing w:line="360" w:lineRule="auto"/>
        <w:jc w:val="both"/>
        <w:rPr>
          <w:rFonts w:ascii="Bookman Old Style" w:hAnsi="Bookman Old Style"/>
        </w:rPr>
      </w:pPr>
      <w:r w:rsidRPr="00844FF6">
        <w:rPr>
          <w:rFonts w:ascii="Bookman Old Style" w:hAnsi="Bookman Old Style"/>
        </w:rPr>
        <w:t>L'imprenditore e il prestatore di lavoro sono rispettivamente tenuti a consentire e a fare l'esperimento che forma oggetto del patto di prova.</w:t>
      </w:r>
    </w:p>
    <w:p w:rsidR="00844FF6" w:rsidRPr="00844FF6" w:rsidRDefault="00844FF6" w:rsidP="00844FF6">
      <w:pPr>
        <w:spacing w:line="360" w:lineRule="auto"/>
        <w:jc w:val="both"/>
        <w:rPr>
          <w:rFonts w:ascii="Bookman Old Style" w:hAnsi="Bookman Old Style"/>
        </w:rPr>
      </w:pPr>
      <w:r w:rsidRPr="00844FF6">
        <w:rPr>
          <w:rFonts w:ascii="Bookman Old Style" w:hAnsi="Bookman Old Style"/>
        </w:rPr>
        <w:t xml:space="preserve">Durante il periodo di prova ciascuna delle parti può recedere dal contratto, senza l'obbligo di preavviso o d'indennità. Se però la prova è stabilita per un tempo minimo necessario, la facoltà di recesso non può esercitarsi </w:t>
      </w:r>
      <w:r w:rsidR="00756C88">
        <w:rPr>
          <w:rFonts w:ascii="Bookman Old Style" w:hAnsi="Bookman Old Style"/>
        </w:rPr>
        <w:t>prima della scadenza del termine.</w:t>
      </w:r>
    </w:p>
    <w:p w:rsidR="00844FF6" w:rsidRPr="00844FF6" w:rsidRDefault="00844FF6" w:rsidP="00844FF6">
      <w:pPr>
        <w:spacing w:line="360" w:lineRule="auto"/>
        <w:jc w:val="both"/>
        <w:rPr>
          <w:rFonts w:ascii="Bookman Old Style" w:hAnsi="Bookman Old Style"/>
        </w:rPr>
      </w:pPr>
      <w:r w:rsidRPr="00844FF6">
        <w:rPr>
          <w:rFonts w:ascii="Bookman Old Style" w:hAnsi="Bookman Old Style"/>
        </w:rPr>
        <w:t>Compiuto il periodo di prova, l'assunzione diviene definitiva e il servizio prestato si computa nell'anzianità del prestatore di lavoro.</w:t>
      </w:r>
    </w:p>
    <w:p w:rsidR="00844FF6" w:rsidRPr="008E6307" w:rsidRDefault="00844FF6" w:rsidP="008E6307">
      <w:pPr>
        <w:spacing w:line="360" w:lineRule="auto"/>
        <w:jc w:val="both"/>
        <w:rPr>
          <w:rFonts w:ascii="Bookman Old Style" w:hAnsi="Bookman Old Style"/>
        </w:rPr>
      </w:pPr>
    </w:p>
    <w:p w:rsidR="008E6307" w:rsidRDefault="008E6307" w:rsidP="00AC1C45">
      <w:pPr>
        <w:spacing w:line="360" w:lineRule="auto"/>
        <w:jc w:val="both"/>
        <w:rPr>
          <w:rFonts w:ascii="Bookman Old Style" w:hAnsi="Bookman Old Style"/>
        </w:rPr>
      </w:pPr>
    </w:p>
    <w:p w:rsidR="008E6307" w:rsidRDefault="008E6307" w:rsidP="00AC1C45">
      <w:pPr>
        <w:spacing w:line="360" w:lineRule="auto"/>
        <w:jc w:val="both"/>
        <w:rPr>
          <w:rFonts w:ascii="Bookman Old Style" w:hAnsi="Bookman Old Style"/>
        </w:rPr>
      </w:pPr>
    </w:p>
    <w:p w:rsidR="00AC1C45" w:rsidRDefault="00AC1C45" w:rsidP="00AC1C45">
      <w:pPr>
        <w:spacing w:line="360" w:lineRule="auto"/>
        <w:jc w:val="both"/>
        <w:rPr>
          <w:rFonts w:ascii="Bookman Old Style" w:hAnsi="Bookman Old Style"/>
        </w:rPr>
      </w:pPr>
      <w:r w:rsidRPr="00AC1C45">
        <w:rPr>
          <w:rFonts w:ascii="Bookman Old Style" w:hAnsi="Bookman Old Style"/>
        </w:rPr>
        <w:t>DECRETO LEGISLATIVO 26 maggio 1997, n. 152 (</w:t>
      </w:r>
      <w:r w:rsidRPr="00AC1C45">
        <w:rPr>
          <w:rFonts w:ascii="Bookman Old Style" w:hAnsi="Bookman Old Style"/>
          <w:bCs/>
        </w:rPr>
        <w:t xml:space="preserve">Attuazione della </w:t>
      </w:r>
      <w:hyperlink r:id="rId6" w:history="1">
        <w:r w:rsidRPr="00AC1C45">
          <w:rPr>
            <w:rStyle w:val="Collegamentoipertestuale"/>
            <w:rFonts w:ascii="Bookman Old Style" w:hAnsi="Bookman Old Style"/>
            <w:bCs/>
          </w:rPr>
          <w:t>direttiva 91/533/CEE</w:t>
        </w:r>
      </w:hyperlink>
      <w:r w:rsidRPr="00AC1C45">
        <w:rPr>
          <w:rFonts w:ascii="Bookman Old Style" w:hAnsi="Bookman Old Style"/>
          <w:bCs/>
        </w:rPr>
        <w:t xml:space="preserve"> concernente l'obbligo del datore di lavoro di informare il lavoratore delle condizioni applicabili al contratto o al rapporto di lavoro).</w:t>
      </w:r>
      <w:r w:rsidRPr="00AC1C45">
        <w:rPr>
          <w:rFonts w:ascii="Bookman Old Style" w:hAnsi="Bookman Old Style"/>
        </w:rPr>
        <w:t xml:space="preserve">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rPr>
        <w:t>1. Obbligo di informazione.</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rPr>
        <w:t xml:space="preserve">1. Il datore di lavoro pubblico e privato è tenuto a fornire al lavoratore, entro trenta giorni dalla data dell'assunzione, le seguenti informazioni: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a</w:t>
      </w:r>
      <w:r w:rsidRPr="006F533A">
        <w:rPr>
          <w:rFonts w:ascii="Bookman Old Style" w:hAnsi="Bookman Old Style"/>
        </w:rPr>
        <w:t xml:space="preserve">) l'identità delle parti;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b</w:t>
      </w:r>
      <w:r w:rsidRPr="006F533A">
        <w:rPr>
          <w:rFonts w:ascii="Bookman Old Style" w:hAnsi="Bookman Old Style"/>
        </w:rPr>
        <w:t xml:space="preserve">) il luogo di lavoro; in mancanza di un luogo di lavoro fisso o predominante, l'indicazione che il lavoratore è occupato in luoghi diversi, nonché la sede o il domicilio del datore di lavoro;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c</w:t>
      </w:r>
      <w:r w:rsidRPr="006F533A">
        <w:rPr>
          <w:rFonts w:ascii="Bookman Old Style" w:hAnsi="Bookman Old Style"/>
        </w:rPr>
        <w:t xml:space="preserve">) la data di inizio del rapporto di lavoro;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d</w:t>
      </w:r>
      <w:r w:rsidRPr="006F533A">
        <w:rPr>
          <w:rFonts w:ascii="Bookman Old Style" w:hAnsi="Bookman Old Style"/>
        </w:rPr>
        <w:t xml:space="preserve">) la durata del rapporto di lavoro, precisando se si tratta di rapporto di lavoro a tempo determinato o indeterminato;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e</w:t>
      </w:r>
      <w:r w:rsidRPr="006F533A">
        <w:rPr>
          <w:rFonts w:ascii="Bookman Old Style" w:hAnsi="Bookman Old Style"/>
        </w:rPr>
        <w:t xml:space="preserve">) la durata del periodo di prova se previsto;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f</w:t>
      </w:r>
      <w:r w:rsidRPr="006F533A">
        <w:rPr>
          <w:rFonts w:ascii="Bookman Old Style" w:hAnsi="Bookman Old Style"/>
        </w:rPr>
        <w:t xml:space="preserve">) l'inquadramento, il livello e la qualifica attribuiti al lavoratore, oppure le caratteristiche o la descrizione sommaria del lavoro;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g</w:t>
      </w:r>
      <w:r w:rsidRPr="006F533A">
        <w:rPr>
          <w:rFonts w:ascii="Bookman Old Style" w:hAnsi="Bookman Old Style"/>
        </w:rPr>
        <w:t xml:space="preserve">) l'importo iniziale della retribuzione e i relativi elementi costitutivi, con l'indicazione del periodo di pagamento;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h</w:t>
      </w:r>
      <w:r w:rsidRPr="006F533A">
        <w:rPr>
          <w:rFonts w:ascii="Bookman Old Style" w:hAnsi="Bookman Old Style"/>
        </w:rPr>
        <w:t xml:space="preserve">) la durata delle ferie retribuite cui ha diritto il lavoratore o le modalità di determinazione e di fruizione delle ferie;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i</w:t>
      </w:r>
      <w:r w:rsidRPr="006F533A">
        <w:rPr>
          <w:rFonts w:ascii="Bookman Old Style" w:hAnsi="Bookman Old Style"/>
        </w:rPr>
        <w:t xml:space="preserve">) l'orario di lavoro;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l</w:t>
      </w:r>
      <w:r w:rsidRPr="006F533A">
        <w:rPr>
          <w:rFonts w:ascii="Bookman Old Style" w:hAnsi="Bookman Old Style"/>
        </w:rPr>
        <w:t xml:space="preserve">) i termini del preavviso in caso di recesso.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rPr>
        <w:t xml:space="preserve">2. L'obbligo di cui al comma 1 può essere assolto: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i/>
          <w:iCs/>
        </w:rPr>
        <w:t>a</w:t>
      </w:r>
      <w:r w:rsidRPr="006F533A">
        <w:rPr>
          <w:rFonts w:ascii="Bookman Old Style" w:hAnsi="Bookman Old Style"/>
        </w:rPr>
        <w:t xml:space="preserve">) nel contratto di lavoro scritto ovvero nella lettera di assunzione o in ogni altro documento scritto, da consegnarsi al lavoratore entro trenta giorni dalla data dell'assunzione; </w:t>
      </w:r>
    </w:p>
    <w:p w:rsidR="006F533A" w:rsidRPr="006F533A" w:rsidRDefault="006F533A" w:rsidP="006F533A">
      <w:pPr>
        <w:spacing w:line="360" w:lineRule="auto"/>
        <w:jc w:val="both"/>
        <w:rPr>
          <w:rFonts w:ascii="Bookman Old Style" w:hAnsi="Bookman Old Style"/>
        </w:rPr>
      </w:pPr>
      <w:r>
        <w:rPr>
          <w:rFonts w:ascii="Bookman Old Style" w:hAnsi="Bookman Old Style"/>
          <w:i/>
          <w:iCs/>
        </w:rPr>
        <w:t>(…).</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rPr>
        <w:t xml:space="preserve">3. In caso di estinzione del rapporto di lavoro prima della scadenza del termine di trenta giorni dalla data dell'assunzione, al lavoratore deve essere consegnata, al momento della cessazione del rapporto stesso, una dichiarazione scritta contenente le indicazioni di cui al comma 1, ove tale obbligo non sia stato già adempiuto. </w:t>
      </w:r>
    </w:p>
    <w:p w:rsidR="006F533A" w:rsidRPr="006F533A" w:rsidRDefault="006F533A" w:rsidP="006F533A">
      <w:pPr>
        <w:spacing w:line="360" w:lineRule="auto"/>
        <w:jc w:val="both"/>
        <w:rPr>
          <w:rFonts w:ascii="Bookman Old Style" w:hAnsi="Bookman Old Style"/>
        </w:rPr>
      </w:pPr>
      <w:r w:rsidRPr="006F533A">
        <w:rPr>
          <w:rFonts w:ascii="Bookman Old Style" w:hAnsi="Bookman Old Style"/>
        </w:rPr>
        <w:lastRenderedPageBreak/>
        <w:t xml:space="preserve">4. L'informazione circa le indicazioni di cui alle lettere </w:t>
      </w:r>
      <w:r w:rsidRPr="006F533A">
        <w:rPr>
          <w:rFonts w:ascii="Bookman Old Style" w:hAnsi="Bookman Old Style"/>
          <w:i/>
          <w:iCs/>
        </w:rPr>
        <w:t>e</w:t>
      </w:r>
      <w:r w:rsidRPr="006F533A">
        <w:rPr>
          <w:rFonts w:ascii="Bookman Old Style" w:hAnsi="Bookman Old Style"/>
        </w:rPr>
        <w:t xml:space="preserve">), </w:t>
      </w:r>
      <w:r w:rsidRPr="006F533A">
        <w:rPr>
          <w:rFonts w:ascii="Bookman Old Style" w:hAnsi="Bookman Old Style"/>
          <w:i/>
          <w:iCs/>
        </w:rPr>
        <w:t>g</w:t>
      </w:r>
      <w:r w:rsidRPr="006F533A">
        <w:rPr>
          <w:rFonts w:ascii="Bookman Old Style" w:hAnsi="Bookman Old Style"/>
        </w:rPr>
        <w:t xml:space="preserve">), </w:t>
      </w:r>
      <w:r w:rsidRPr="006F533A">
        <w:rPr>
          <w:rFonts w:ascii="Bookman Old Style" w:hAnsi="Bookman Old Style"/>
          <w:i/>
          <w:iCs/>
        </w:rPr>
        <w:t>h</w:t>
      </w:r>
      <w:r w:rsidRPr="006F533A">
        <w:rPr>
          <w:rFonts w:ascii="Bookman Old Style" w:hAnsi="Bookman Old Style"/>
        </w:rPr>
        <w:t xml:space="preserve">), </w:t>
      </w:r>
      <w:r w:rsidRPr="006F533A">
        <w:rPr>
          <w:rFonts w:ascii="Bookman Old Style" w:hAnsi="Bookman Old Style"/>
          <w:i/>
          <w:iCs/>
        </w:rPr>
        <w:t>i</w:t>
      </w:r>
      <w:r w:rsidRPr="006F533A">
        <w:rPr>
          <w:rFonts w:ascii="Bookman Old Style" w:hAnsi="Bookman Old Style"/>
        </w:rPr>
        <w:t xml:space="preserve">) ed </w:t>
      </w:r>
      <w:r w:rsidRPr="006F533A">
        <w:rPr>
          <w:rFonts w:ascii="Bookman Old Style" w:hAnsi="Bookman Old Style"/>
          <w:i/>
          <w:iCs/>
        </w:rPr>
        <w:t>l</w:t>
      </w:r>
      <w:r w:rsidRPr="006F533A">
        <w:rPr>
          <w:rFonts w:ascii="Bookman Old Style" w:hAnsi="Bookman Old Style"/>
        </w:rPr>
        <w:t xml:space="preserve">) del comma 1, può essere effettuata mediante il rinvio alle norme del contratto collettivo applicato al lavoratore. </w:t>
      </w:r>
    </w:p>
    <w:p w:rsidR="006F533A" w:rsidRDefault="006F533A" w:rsidP="006F533A">
      <w:pPr>
        <w:spacing w:line="360" w:lineRule="auto"/>
        <w:jc w:val="both"/>
        <w:rPr>
          <w:rFonts w:ascii="Bookman Old Style" w:hAnsi="Bookman Old Style"/>
        </w:rPr>
      </w:pPr>
      <w:r w:rsidRPr="006F533A">
        <w:rPr>
          <w:rFonts w:ascii="Bookman Old Style" w:hAnsi="Bookman Old Style"/>
        </w:rPr>
        <w:t> </w:t>
      </w:r>
    </w:p>
    <w:p w:rsidR="008E6307" w:rsidRPr="006F533A" w:rsidRDefault="008E6307" w:rsidP="006F533A">
      <w:pPr>
        <w:spacing w:line="360" w:lineRule="auto"/>
        <w:jc w:val="both"/>
        <w:rPr>
          <w:rFonts w:ascii="Bookman Old Style" w:hAnsi="Bookman Old Style"/>
        </w:rPr>
      </w:pPr>
    </w:p>
    <w:p w:rsidR="00020DB2" w:rsidRPr="00020DB2" w:rsidRDefault="00020DB2" w:rsidP="00020DB2">
      <w:pPr>
        <w:spacing w:line="360" w:lineRule="auto"/>
        <w:jc w:val="both"/>
        <w:rPr>
          <w:rFonts w:ascii="Bookman Old Style" w:hAnsi="Bookman Old Style"/>
        </w:rPr>
      </w:pPr>
      <w:r w:rsidRPr="00020DB2">
        <w:rPr>
          <w:rFonts w:ascii="Bookman Old Style" w:hAnsi="Bookman Old Style"/>
        </w:rPr>
        <w:t>DECRETO LEGI</w:t>
      </w:r>
      <w:r>
        <w:rPr>
          <w:rFonts w:ascii="Bookman Old Style" w:hAnsi="Bookman Old Style"/>
        </w:rPr>
        <w:t xml:space="preserve">SLATIVO 15 giugno 2015, n. 81 </w:t>
      </w:r>
      <w:r w:rsidRPr="00020DB2">
        <w:rPr>
          <w:rFonts w:ascii="Bookman Old Style" w:hAnsi="Bookman Old Style"/>
        </w:rPr>
        <w:t>(</w:t>
      </w:r>
      <w:r w:rsidRPr="00020DB2">
        <w:rPr>
          <w:rFonts w:ascii="Bookman Old Style" w:hAnsi="Bookman Old Style"/>
          <w:bCs/>
        </w:rPr>
        <w:t xml:space="preserve">Disciplina organica dei contratti di lavoro e revisione della normativa in tema di mansioni, a norma dell'articolo </w:t>
      </w:r>
      <w:hyperlink r:id="rId7" w:history="1">
        <w:r w:rsidRPr="00020DB2">
          <w:rPr>
            <w:rStyle w:val="Collegamentoipertestuale"/>
            <w:rFonts w:ascii="Bookman Old Style" w:hAnsi="Bookman Old Style"/>
            <w:bCs/>
          </w:rPr>
          <w:t>1, comma 7</w:t>
        </w:r>
      </w:hyperlink>
      <w:r w:rsidRPr="00020DB2">
        <w:rPr>
          <w:rFonts w:ascii="Bookman Old Style" w:hAnsi="Bookman Old Style"/>
          <w:bCs/>
        </w:rPr>
        <w:t xml:space="preserve">, della </w:t>
      </w:r>
      <w:hyperlink r:id="rId8" w:history="1">
        <w:r w:rsidRPr="00020DB2">
          <w:rPr>
            <w:rStyle w:val="Collegamentoipertestuale"/>
            <w:rFonts w:ascii="Bookman Old Style" w:hAnsi="Bookman Old Style"/>
            <w:bCs/>
          </w:rPr>
          <w:t>legge 10 dicembre 2014, n. 183</w:t>
        </w:r>
      </w:hyperlink>
      <w:r w:rsidRPr="00020DB2">
        <w:rPr>
          <w:rFonts w:ascii="Bookman Old Style" w:hAnsi="Bookman Old Style"/>
          <w:bCs/>
        </w:rPr>
        <w:t>):</w:t>
      </w:r>
    </w:p>
    <w:p w:rsidR="00020DB2" w:rsidRPr="00020DB2" w:rsidRDefault="00020DB2" w:rsidP="00020DB2">
      <w:pPr>
        <w:spacing w:line="360" w:lineRule="auto"/>
        <w:jc w:val="both"/>
        <w:rPr>
          <w:rFonts w:ascii="Bookman Old Style" w:hAnsi="Bookman Old Style"/>
        </w:rPr>
      </w:pPr>
      <w:r w:rsidRPr="00020DB2">
        <w:rPr>
          <w:rFonts w:ascii="Bookman Old Style" w:hAnsi="Bookman Old Style"/>
        </w:rPr>
        <w:t>Capo I</w:t>
      </w:r>
      <w:r>
        <w:rPr>
          <w:rFonts w:ascii="Bookman Old Style" w:hAnsi="Bookman Old Style"/>
        </w:rPr>
        <w:t xml:space="preserve"> </w:t>
      </w:r>
      <w:r w:rsidRPr="00020DB2">
        <w:rPr>
          <w:rFonts w:ascii="Bookman Old Style" w:hAnsi="Bookman Old Style"/>
        </w:rPr>
        <w:t>Disposizioni in materia di rapporto di lavoro</w:t>
      </w:r>
    </w:p>
    <w:p w:rsidR="00020DB2" w:rsidRPr="00020DB2" w:rsidRDefault="00020DB2" w:rsidP="00020DB2">
      <w:pPr>
        <w:spacing w:line="360" w:lineRule="auto"/>
        <w:jc w:val="both"/>
        <w:rPr>
          <w:rFonts w:ascii="Bookman Old Style" w:hAnsi="Bookman Old Style"/>
        </w:rPr>
      </w:pPr>
      <w:r w:rsidRPr="00020DB2">
        <w:rPr>
          <w:rFonts w:ascii="Bookman Old Style" w:hAnsi="Bookman Old Style"/>
        </w:rPr>
        <w:t>Art. 1.  Forma contrattuale comune</w:t>
      </w:r>
      <w:r>
        <w:rPr>
          <w:rFonts w:ascii="Bookman Old Style" w:hAnsi="Bookman Old Style"/>
        </w:rPr>
        <w:t>:</w:t>
      </w:r>
    </w:p>
    <w:p w:rsidR="00020DB2" w:rsidRPr="00020DB2" w:rsidRDefault="00020DB2" w:rsidP="00020DB2">
      <w:pPr>
        <w:spacing w:line="360" w:lineRule="auto"/>
        <w:jc w:val="both"/>
        <w:rPr>
          <w:rFonts w:ascii="Bookman Old Style" w:hAnsi="Bookman Old Style"/>
        </w:rPr>
      </w:pPr>
      <w:r w:rsidRPr="00020DB2">
        <w:rPr>
          <w:rFonts w:ascii="Bookman Old Style" w:hAnsi="Bookman Old Style"/>
        </w:rPr>
        <w:t>1.  Il contratto di lavoro subordinato a tempo indeterminato costituisce la forma comune di rapporto di lavoro.</w:t>
      </w:r>
    </w:p>
    <w:p w:rsidR="00020DB2" w:rsidRDefault="00020DB2" w:rsidP="00020DB2">
      <w:pPr>
        <w:spacing w:line="360" w:lineRule="auto"/>
        <w:jc w:val="both"/>
        <w:rPr>
          <w:rFonts w:ascii="Bookman Old Style" w:hAnsi="Bookman Old Style"/>
        </w:rPr>
      </w:pPr>
    </w:p>
    <w:p w:rsidR="00020DB2" w:rsidRPr="00020DB2" w:rsidRDefault="00020DB2" w:rsidP="00020DB2">
      <w:pPr>
        <w:spacing w:line="360" w:lineRule="auto"/>
        <w:jc w:val="both"/>
        <w:rPr>
          <w:rFonts w:ascii="Bookman Old Style" w:hAnsi="Bookman Old Style"/>
        </w:rPr>
      </w:pPr>
      <w:r w:rsidRPr="00020DB2">
        <w:rPr>
          <w:rFonts w:ascii="Bookman Old Style" w:hAnsi="Bookman Old Style"/>
        </w:rPr>
        <w:t>Art. 2.  Collaborazioni organizzate dal committente</w:t>
      </w:r>
    </w:p>
    <w:p w:rsidR="00020DB2" w:rsidRPr="00AF1422" w:rsidRDefault="00020DB2" w:rsidP="00AF1422">
      <w:pPr>
        <w:spacing w:line="360" w:lineRule="auto"/>
        <w:jc w:val="both"/>
        <w:rPr>
          <w:rFonts w:ascii="Bookman Old Style" w:hAnsi="Bookman Old Style"/>
        </w:rPr>
      </w:pPr>
      <w:r w:rsidRPr="00AF1422">
        <w:rPr>
          <w:rFonts w:ascii="Bookman Old Style" w:hAnsi="Bookman Old Style"/>
        </w:rPr>
        <w:t>1.  A far data dal 1° gennaio 2016, si applica la disciplina del rapporto di lavoro subordinato anche ai rapporti di collaborazione che si concretano in prestazioni di lavoro esclusivamente personali, continuative e le cui modalità di esecuzione sono organizzate dal committente anche con riferimento ai tempi e al luogo di lavoro.</w:t>
      </w:r>
    </w:p>
    <w:p w:rsidR="00020DB2" w:rsidRPr="00AF1422" w:rsidRDefault="00020DB2" w:rsidP="00AF1422">
      <w:pPr>
        <w:spacing w:line="360" w:lineRule="auto"/>
        <w:jc w:val="both"/>
        <w:rPr>
          <w:rFonts w:ascii="Bookman Old Style" w:hAnsi="Bookman Old Style"/>
        </w:rPr>
      </w:pPr>
      <w:r w:rsidRPr="00AF1422">
        <w:rPr>
          <w:rFonts w:ascii="Bookman Old Style" w:hAnsi="Bookman Old Style"/>
        </w:rPr>
        <w:t>2.  La disposizione di cui al comma 1 non trova applicazione con riferimento:</w:t>
      </w:r>
    </w:p>
    <w:p w:rsidR="00020DB2" w:rsidRPr="00AF1422" w:rsidRDefault="00020DB2" w:rsidP="00AF1422">
      <w:pPr>
        <w:spacing w:line="360" w:lineRule="auto"/>
        <w:jc w:val="both"/>
        <w:rPr>
          <w:rFonts w:ascii="Bookman Old Style" w:hAnsi="Bookman Old Style"/>
        </w:rPr>
      </w:pPr>
      <w:r w:rsidRPr="00AF1422">
        <w:rPr>
          <w:rFonts w:ascii="Bookman Old Style" w:hAnsi="Bookman Old Style"/>
        </w:rPr>
        <w:t xml:space="preserve">a)  alle collaborazioni per le quali gli </w:t>
      </w:r>
      <w:r w:rsidRPr="00A041F5">
        <w:rPr>
          <w:rFonts w:ascii="Bookman Old Style" w:hAnsi="Bookman Old Style"/>
          <w:b/>
        </w:rPr>
        <w:t>accordi collettivi nazionali stipulati da associazioni sindacali comparativamente più rappresentative sul piano nazionale</w:t>
      </w:r>
      <w:r w:rsidRPr="00AF1422">
        <w:rPr>
          <w:rFonts w:ascii="Bookman Old Style" w:hAnsi="Bookman Old Style"/>
        </w:rPr>
        <w:t xml:space="preserve"> prevedono discipline specifiche riguardanti il trattamento economico e normativo, in ragione delle particolari esigenze produttive ed organizzative del relativo settore; </w:t>
      </w:r>
    </w:p>
    <w:p w:rsidR="00020DB2" w:rsidRPr="00AF1422" w:rsidRDefault="00020DB2" w:rsidP="00AF1422">
      <w:pPr>
        <w:spacing w:line="360" w:lineRule="auto"/>
        <w:jc w:val="both"/>
        <w:rPr>
          <w:rFonts w:ascii="Bookman Old Style" w:hAnsi="Bookman Old Style"/>
        </w:rPr>
      </w:pPr>
      <w:r w:rsidRPr="00AF1422">
        <w:rPr>
          <w:rFonts w:ascii="Bookman Old Style" w:hAnsi="Bookman Old Style"/>
        </w:rPr>
        <w:t xml:space="preserve">b)  alle collaborazioni prestate nell'esercizio di </w:t>
      </w:r>
      <w:r w:rsidRPr="00A041F5">
        <w:rPr>
          <w:rFonts w:ascii="Bookman Old Style" w:hAnsi="Bookman Old Style"/>
          <w:b/>
        </w:rPr>
        <w:t>professioni intellettuali</w:t>
      </w:r>
      <w:r w:rsidRPr="00AF1422">
        <w:rPr>
          <w:rFonts w:ascii="Bookman Old Style" w:hAnsi="Bookman Old Style"/>
        </w:rPr>
        <w:t xml:space="preserve"> per le quali è necessaria l'iscrizione in appositi albi professionali; </w:t>
      </w:r>
    </w:p>
    <w:p w:rsidR="00020DB2" w:rsidRPr="00AF1422" w:rsidRDefault="00020DB2" w:rsidP="00AF1422">
      <w:pPr>
        <w:spacing w:line="360" w:lineRule="auto"/>
        <w:jc w:val="both"/>
        <w:rPr>
          <w:rFonts w:ascii="Bookman Old Style" w:hAnsi="Bookman Old Style"/>
        </w:rPr>
      </w:pPr>
      <w:r w:rsidRPr="00AF1422">
        <w:rPr>
          <w:rFonts w:ascii="Bookman Old Style" w:hAnsi="Bookman Old Style"/>
        </w:rPr>
        <w:t xml:space="preserve">c)  alle attività prestate nell'esercizio della loro funzione dai componenti degli </w:t>
      </w:r>
      <w:r w:rsidRPr="00A041F5">
        <w:rPr>
          <w:rFonts w:ascii="Bookman Old Style" w:hAnsi="Bookman Old Style"/>
          <w:b/>
        </w:rPr>
        <w:t>organi di amministrazione e controllo delle società</w:t>
      </w:r>
      <w:r w:rsidRPr="00AF1422">
        <w:rPr>
          <w:rFonts w:ascii="Bookman Old Style" w:hAnsi="Bookman Old Style"/>
        </w:rPr>
        <w:t xml:space="preserve"> e dai partecipanti a collegi e commissioni; </w:t>
      </w:r>
    </w:p>
    <w:p w:rsidR="00020DB2" w:rsidRPr="00AF1422" w:rsidRDefault="00020DB2" w:rsidP="00AF1422">
      <w:pPr>
        <w:spacing w:line="360" w:lineRule="auto"/>
        <w:jc w:val="both"/>
        <w:rPr>
          <w:rFonts w:ascii="Bookman Old Style" w:hAnsi="Bookman Old Style"/>
        </w:rPr>
      </w:pPr>
      <w:r w:rsidRPr="00AF1422">
        <w:rPr>
          <w:rFonts w:ascii="Bookman Old Style" w:hAnsi="Bookman Old Style"/>
        </w:rPr>
        <w:t xml:space="preserve">d)  alle collaborazioni rese a fini istituzionali in favore delle </w:t>
      </w:r>
      <w:r w:rsidRPr="00A041F5">
        <w:rPr>
          <w:rFonts w:ascii="Bookman Old Style" w:hAnsi="Bookman Old Style"/>
          <w:b/>
        </w:rPr>
        <w:t xml:space="preserve">associazioni e società sportive </w:t>
      </w:r>
      <w:r w:rsidRPr="00AF1422">
        <w:rPr>
          <w:rFonts w:ascii="Bookman Old Style" w:hAnsi="Bookman Old Style"/>
        </w:rPr>
        <w:t xml:space="preserve">dilettantistiche affiliate alle federazioni sportive nazionali, alle discipline sportive associate e agli enti di promozione sportiva riconosciuti dal C.O.N.I., </w:t>
      </w:r>
      <w:r w:rsidR="00A041F5">
        <w:rPr>
          <w:rFonts w:ascii="Bookman Old Style" w:hAnsi="Bookman Old Style"/>
        </w:rPr>
        <w:t>(….)</w:t>
      </w:r>
      <w:r w:rsidRPr="00AF1422">
        <w:rPr>
          <w:rFonts w:ascii="Bookman Old Style" w:hAnsi="Bookman Old Style"/>
        </w:rPr>
        <w:t xml:space="preserve">; </w:t>
      </w:r>
    </w:p>
    <w:p w:rsidR="00A041F5" w:rsidRDefault="00020DB2" w:rsidP="00AF1422">
      <w:pPr>
        <w:spacing w:line="360" w:lineRule="auto"/>
        <w:jc w:val="both"/>
        <w:rPr>
          <w:rFonts w:ascii="Bookman Old Style" w:hAnsi="Bookman Old Style"/>
        </w:rPr>
      </w:pPr>
      <w:r w:rsidRPr="00AF1422">
        <w:rPr>
          <w:rFonts w:ascii="Bookman Old Style" w:hAnsi="Bookman Old Style"/>
        </w:rPr>
        <w:lastRenderedPageBreak/>
        <w:t xml:space="preserve">d-bis)  alle collaborazioni prestate nell'ambito della </w:t>
      </w:r>
      <w:r w:rsidRPr="00A041F5">
        <w:rPr>
          <w:rFonts w:ascii="Bookman Old Style" w:hAnsi="Bookman Old Style"/>
          <w:b/>
        </w:rPr>
        <w:t>produzione e della realizzazione di spettacoli</w:t>
      </w:r>
      <w:r w:rsidRPr="00AF1422">
        <w:rPr>
          <w:rFonts w:ascii="Bookman Old Style" w:hAnsi="Bookman Old Style"/>
        </w:rPr>
        <w:t xml:space="preserve"> da parte delle fondazioni </w:t>
      </w:r>
      <w:r w:rsidR="00A041F5">
        <w:rPr>
          <w:rFonts w:ascii="Bookman Old Style" w:hAnsi="Bookman Old Style"/>
        </w:rPr>
        <w:t>(…).</w:t>
      </w:r>
    </w:p>
    <w:p w:rsidR="00020DB2" w:rsidRPr="00AF1422" w:rsidRDefault="00020DB2" w:rsidP="00AF1422">
      <w:pPr>
        <w:spacing w:line="360" w:lineRule="auto"/>
        <w:jc w:val="both"/>
        <w:rPr>
          <w:rFonts w:ascii="Bookman Old Style" w:hAnsi="Bookman Old Style"/>
        </w:rPr>
      </w:pPr>
      <w:r w:rsidRPr="00AF1422">
        <w:rPr>
          <w:rFonts w:ascii="Bookman Old Style" w:hAnsi="Bookman Old Style"/>
        </w:rPr>
        <w:t>Art. 52.  Superamento del contratto a progetto</w:t>
      </w:r>
    </w:p>
    <w:p w:rsidR="00020DB2" w:rsidRPr="00A041F5" w:rsidRDefault="00020DB2" w:rsidP="00A041F5">
      <w:pPr>
        <w:spacing w:line="360" w:lineRule="auto"/>
        <w:jc w:val="both"/>
        <w:rPr>
          <w:rFonts w:ascii="Bookman Old Style" w:hAnsi="Bookman Old Style"/>
        </w:rPr>
      </w:pPr>
      <w:r w:rsidRPr="00A041F5">
        <w:rPr>
          <w:rFonts w:ascii="Bookman Old Style" w:hAnsi="Bookman Old Style"/>
        </w:rPr>
        <w:t xml:space="preserve">1.  Le disposizioni di cui agli articoli </w:t>
      </w:r>
      <w:hyperlink r:id="rId9" w:history="1">
        <w:r w:rsidRPr="00A041F5">
          <w:rPr>
            <w:rStyle w:val="Collegamentoipertestuale"/>
            <w:rFonts w:ascii="Bookman Old Style" w:hAnsi="Bookman Old Style"/>
          </w:rPr>
          <w:t>da 61</w:t>
        </w:r>
      </w:hyperlink>
      <w:r w:rsidRPr="00A041F5">
        <w:rPr>
          <w:rFonts w:ascii="Bookman Old Style" w:hAnsi="Bookman Old Style"/>
        </w:rPr>
        <w:t xml:space="preserve"> a </w:t>
      </w:r>
      <w:hyperlink r:id="rId10" w:history="1">
        <w:r w:rsidRPr="00A041F5">
          <w:rPr>
            <w:rStyle w:val="Collegamentoipertestuale"/>
            <w:rFonts w:ascii="Bookman Old Style" w:hAnsi="Bookman Old Style"/>
          </w:rPr>
          <w:t>69-bis del decreto legislativo n. 276 del 2003</w:t>
        </w:r>
      </w:hyperlink>
      <w:r w:rsidRPr="00A041F5">
        <w:rPr>
          <w:rFonts w:ascii="Bookman Old Style" w:hAnsi="Bookman Old Style"/>
        </w:rPr>
        <w:t xml:space="preserve"> sono abrogate e continuano ad applicarsi esclusivamente per la regolazione dei contratti già in atto alla data di entrata in vigore del presente decreto.</w:t>
      </w:r>
    </w:p>
    <w:p w:rsidR="00020DB2" w:rsidRPr="00A041F5" w:rsidRDefault="00020DB2" w:rsidP="00A041F5">
      <w:pPr>
        <w:spacing w:line="360" w:lineRule="auto"/>
        <w:jc w:val="both"/>
        <w:rPr>
          <w:rFonts w:ascii="Bookman Old Style" w:hAnsi="Bookman Old Style"/>
        </w:rPr>
      </w:pPr>
      <w:r w:rsidRPr="00A041F5">
        <w:rPr>
          <w:rFonts w:ascii="Bookman Old Style" w:hAnsi="Bookman Old Style"/>
        </w:rPr>
        <w:t xml:space="preserve">2.  Resta salvo quanto disposto </w:t>
      </w:r>
      <w:hyperlink r:id="rId11" w:history="1">
        <w:r w:rsidRPr="00A041F5">
          <w:rPr>
            <w:rStyle w:val="Collegamentoipertestuale"/>
            <w:rFonts w:ascii="Bookman Old Style" w:hAnsi="Bookman Old Style"/>
          </w:rPr>
          <w:t>dall'articolo 409 del codice di procedura civile.</w:t>
        </w:r>
      </w:hyperlink>
    </w:p>
    <w:p w:rsidR="00020DB2" w:rsidRPr="00A041F5" w:rsidRDefault="00020DB2" w:rsidP="00A041F5">
      <w:pPr>
        <w:spacing w:line="360" w:lineRule="auto"/>
        <w:jc w:val="both"/>
        <w:rPr>
          <w:rFonts w:ascii="Bookman Old Style" w:hAnsi="Bookman Old Style"/>
        </w:rPr>
      </w:pPr>
      <w:r w:rsidRPr="00A041F5">
        <w:rPr>
          <w:rFonts w:ascii="Bookman Old Style" w:hAnsi="Bookman Old Style"/>
        </w:rPr>
        <w:t>Art. 54.  Stabilizzazione dei collaboratori coordinati e continuativi anche a progetto e di persone titolari di partita IVA</w:t>
      </w:r>
    </w:p>
    <w:p w:rsidR="00020DB2" w:rsidRPr="00A041F5" w:rsidRDefault="00020DB2" w:rsidP="00A041F5">
      <w:pPr>
        <w:spacing w:line="360" w:lineRule="auto"/>
        <w:jc w:val="both"/>
        <w:rPr>
          <w:rFonts w:ascii="Bookman Old Style" w:hAnsi="Bookman Old Style"/>
        </w:rPr>
      </w:pPr>
      <w:r w:rsidRPr="00A041F5">
        <w:rPr>
          <w:rFonts w:ascii="Bookman Old Style" w:hAnsi="Bookman Old Style"/>
        </w:rPr>
        <w:t xml:space="preserve">1.  Al fine di </w:t>
      </w:r>
      <w:r w:rsidRPr="00A041F5">
        <w:rPr>
          <w:rFonts w:ascii="Bookman Old Style" w:hAnsi="Bookman Old Style"/>
          <w:b/>
        </w:rPr>
        <w:t>promuovere la stabilizzazione dell'occupazione</w:t>
      </w:r>
      <w:r w:rsidRPr="00A041F5">
        <w:rPr>
          <w:rFonts w:ascii="Bookman Old Style" w:hAnsi="Bookman Old Style"/>
        </w:rPr>
        <w:t xml:space="preserve"> mediante il ricorso a contratti di lavoro subordinato a tempo indeterminato nonché di garantire il corretto utilizzo dei contratti di lavoro autonomo, a decorrere dal 1° gennaio 2016, i datori di lavoro privati che procedano alla assunzione con contratto di lavoro subordinato a tempo indeterminato di soggetti già parti di contratti di collaborazione coordinata e continuativa anche a progetto e di soggetti titolari di partita IVA con cui abbiano intrattenuto rapporti di lavoro autonomo, godono degli effetti di cui al comma 2 a condizione che:</w:t>
      </w:r>
    </w:p>
    <w:p w:rsidR="00020DB2" w:rsidRPr="00A041F5" w:rsidRDefault="00020DB2" w:rsidP="00A041F5">
      <w:pPr>
        <w:spacing w:line="360" w:lineRule="auto"/>
        <w:jc w:val="both"/>
        <w:rPr>
          <w:rFonts w:ascii="Bookman Old Style" w:hAnsi="Bookman Old Style"/>
        </w:rPr>
      </w:pPr>
      <w:r w:rsidRPr="00A041F5">
        <w:rPr>
          <w:rFonts w:ascii="Bookman Old Style" w:hAnsi="Bookman Old Style"/>
        </w:rPr>
        <w:t xml:space="preserve">a)  i lavoratori interessati alle assunzioni sottoscrivano, con riferimento a tutte le possibili pretese riguardanti la qualificazione del pregresso rapporto di lavoro, atti di conciliazione in una delle sedi di cui </w:t>
      </w:r>
      <w:hyperlink r:id="rId12" w:history="1">
        <w:r w:rsidRPr="00A041F5">
          <w:rPr>
            <w:rStyle w:val="Collegamentoipertestuale"/>
            <w:rFonts w:ascii="Bookman Old Style" w:hAnsi="Bookman Old Style"/>
          </w:rPr>
          <w:t>all'articolo 2113, quarto comma, del codice civile</w:t>
        </w:r>
      </w:hyperlink>
      <w:r w:rsidRPr="00A041F5">
        <w:rPr>
          <w:rFonts w:ascii="Bookman Old Style" w:hAnsi="Bookman Old Style"/>
        </w:rPr>
        <w:t xml:space="preserve">, o avanti alle commissioni di certificazione; </w:t>
      </w:r>
    </w:p>
    <w:p w:rsidR="00020DB2" w:rsidRPr="00A041F5" w:rsidRDefault="00020DB2" w:rsidP="00A041F5">
      <w:pPr>
        <w:spacing w:line="360" w:lineRule="auto"/>
        <w:jc w:val="both"/>
        <w:rPr>
          <w:rFonts w:ascii="Bookman Old Style" w:hAnsi="Bookman Old Style"/>
        </w:rPr>
      </w:pPr>
      <w:r w:rsidRPr="00A041F5">
        <w:rPr>
          <w:rFonts w:ascii="Bookman Old Style" w:hAnsi="Bookman Old Style"/>
        </w:rPr>
        <w:t>b)  nei dodici mesi successivi alle assunzioni di cui al comma 2, i datori di lavoro non recedano dal rapporto di lavoro, salvo che per giusta causa ovvero per giustificato motivo soggettivo.</w:t>
      </w:r>
    </w:p>
    <w:p w:rsidR="00AD62CE" w:rsidRDefault="00020DB2" w:rsidP="00AD62CE">
      <w:pPr>
        <w:spacing w:line="360" w:lineRule="auto"/>
        <w:jc w:val="both"/>
        <w:rPr>
          <w:rFonts w:ascii="Bookman Old Style" w:hAnsi="Bookman Old Style"/>
        </w:rPr>
      </w:pPr>
      <w:r w:rsidRPr="00A041F5">
        <w:rPr>
          <w:rFonts w:ascii="Bookman Old Style" w:hAnsi="Bookman Old Style"/>
        </w:rPr>
        <w:t xml:space="preserve">2.  L'assunzione a tempo indeterminato alle condizioni di cui al comma 1, lettere a) e b), comporta </w:t>
      </w:r>
      <w:r w:rsidRPr="00A041F5">
        <w:rPr>
          <w:rFonts w:ascii="Bookman Old Style" w:hAnsi="Bookman Old Style"/>
          <w:b/>
        </w:rPr>
        <w:t>l'estinzione degli illeciti amministrativi, contributivi e fiscali connessi all'erronea qualificazione del rapporto di lavoro</w:t>
      </w:r>
      <w:r w:rsidR="00A041F5">
        <w:rPr>
          <w:rFonts w:ascii="Bookman Old Style" w:hAnsi="Bookman Old Style"/>
        </w:rPr>
        <w:t xml:space="preserve"> (…)</w:t>
      </w:r>
      <w:r w:rsidRPr="00A041F5">
        <w:rPr>
          <w:rFonts w:ascii="Bookman Old Style" w:hAnsi="Bookman Old Style"/>
        </w:rPr>
        <w:t>.</w:t>
      </w:r>
    </w:p>
    <w:p w:rsidR="00AD62CE" w:rsidRDefault="00AD62CE" w:rsidP="00AD62CE">
      <w:pPr>
        <w:spacing w:line="360" w:lineRule="auto"/>
        <w:jc w:val="both"/>
        <w:rPr>
          <w:rFonts w:ascii="Bookman Old Style" w:hAnsi="Bookman Old Style"/>
        </w:rPr>
      </w:pPr>
    </w:p>
    <w:p w:rsidR="00AD62CE" w:rsidRDefault="00AD62CE" w:rsidP="00AD62CE">
      <w:pPr>
        <w:spacing w:line="360" w:lineRule="auto"/>
        <w:jc w:val="both"/>
        <w:rPr>
          <w:rFonts w:ascii="Bookman Old Style" w:hAnsi="Bookman Old Style"/>
        </w:rPr>
      </w:pPr>
      <w:r w:rsidRPr="00AD62CE">
        <w:rPr>
          <w:rFonts w:ascii="Bookman Old Style" w:hAnsi="Bookman Old Style"/>
        </w:rPr>
        <w:t>Capo III</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Lavoro a tempo determinato</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Art. 19.  Apposizione del termine e durata massima</w:t>
      </w:r>
    </w:p>
    <w:p w:rsidR="00AD62CE" w:rsidRPr="00DC7EB2" w:rsidRDefault="00AD62CE" w:rsidP="00AD62CE">
      <w:pPr>
        <w:spacing w:line="360" w:lineRule="auto"/>
        <w:jc w:val="both"/>
        <w:rPr>
          <w:rFonts w:ascii="Bookman Old Style" w:hAnsi="Bookman Old Style"/>
          <w:b/>
        </w:rPr>
      </w:pPr>
      <w:r w:rsidRPr="00AD62CE">
        <w:rPr>
          <w:rFonts w:ascii="Bookman Old Style" w:hAnsi="Bookman Old Style"/>
        </w:rPr>
        <w:t xml:space="preserve">1.  Al contratto di lavoro subordinato può essere apposto un </w:t>
      </w:r>
      <w:r w:rsidRPr="00DC7EB2">
        <w:rPr>
          <w:rFonts w:ascii="Bookman Old Style" w:hAnsi="Bookman Old Style"/>
          <w:b/>
        </w:rPr>
        <w:t>termine di durata non superiore a trentasei mesi.</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lastRenderedPageBreak/>
        <w:t xml:space="preserve">2.  Fatte salve le diverse disposizioni dei contratti collettivi, e con l'eccezione delle attività stagionali di cui all'articolo 21, comma 2, la durata dei rapporti di lavoro a tempo determinato intercorsi tra lo stesso datore di lavoro e lo stesso lavoratore, </w:t>
      </w:r>
      <w:r w:rsidRPr="00DC7EB2">
        <w:rPr>
          <w:rFonts w:ascii="Bookman Old Style" w:hAnsi="Bookman Old Style"/>
          <w:b/>
        </w:rPr>
        <w:t>per effetto di una successione di contratti</w:t>
      </w:r>
      <w:r w:rsidRPr="00AD62CE">
        <w:rPr>
          <w:rFonts w:ascii="Bookman Old Style" w:hAnsi="Bookman Old Style"/>
        </w:rPr>
        <w:t xml:space="preserve">, conclusi per lo svolgimento di </w:t>
      </w:r>
      <w:r w:rsidRPr="00DC7EB2">
        <w:rPr>
          <w:rFonts w:ascii="Bookman Old Style" w:hAnsi="Bookman Old Style"/>
          <w:b/>
        </w:rPr>
        <w:t>mansioni di pari livello</w:t>
      </w:r>
      <w:r w:rsidRPr="00AD62CE">
        <w:rPr>
          <w:rFonts w:ascii="Bookman Old Style" w:hAnsi="Bookman Old Style"/>
        </w:rPr>
        <w:t xml:space="preserve"> e </w:t>
      </w:r>
      <w:r w:rsidRPr="00DC7EB2">
        <w:rPr>
          <w:rFonts w:ascii="Bookman Old Style" w:hAnsi="Bookman Old Style"/>
          <w:b/>
        </w:rPr>
        <w:t>categoria legale</w:t>
      </w:r>
      <w:r w:rsidRPr="00AD62CE">
        <w:rPr>
          <w:rFonts w:ascii="Bookman Old Style" w:hAnsi="Bookman Old Style"/>
        </w:rPr>
        <w:t xml:space="preserve"> e indipendentemente dai periodi di interruzione tra un contratto e l'altro, </w:t>
      </w:r>
      <w:r w:rsidRPr="00144EAD">
        <w:rPr>
          <w:rFonts w:ascii="Bookman Old Style" w:hAnsi="Bookman Old Style"/>
          <w:b/>
        </w:rPr>
        <w:t>non può superare i trentasei mesi</w:t>
      </w:r>
      <w:r w:rsidRPr="00AD62CE">
        <w:rPr>
          <w:rFonts w:ascii="Bookman Old Style" w:hAnsi="Bookman Old Style"/>
        </w:rPr>
        <w:t xml:space="preserve">. </w:t>
      </w:r>
      <w:r w:rsidR="001132AD">
        <w:rPr>
          <w:rFonts w:ascii="Bookman Old Style" w:hAnsi="Bookman Old Style"/>
        </w:rPr>
        <w:t xml:space="preserve">(…) </w:t>
      </w:r>
      <w:r w:rsidRPr="00AD62CE">
        <w:rPr>
          <w:rFonts w:ascii="Bookman Old Style" w:hAnsi="Bookman Old Style"/>
        </w:rPr>
        <w:t xml:space="preserve"> Qualora il limite dei trentasei mesi sia superato, per effetto di un unico contratto o di una successione di contratti, </w:t>
      </w:r>
      <w:r w:rsidRPr="001132AD">
        <w:rPr>
          <w:rFonts w:ascii="Bookman Old Style" w:hAnsi="Bookman Old Style"/>
          <w:b/>
          <w:u w:val="single"/>
        </w:rPr>
        <w:t>il contratto si trasforma in contratto a tempo indeterminato dalla data di tale superamento</w:t>
      </w:r>
      <w:r w:rsidRPr="00AD62CE">
        <w:rPr>
          <w:rFonts w:ascii="Bookman Old Style" w:hAnsi="Bookman Old Style"/>
        </w:rPr>
        <w:t>.</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3.  Fermo quanto disposto al comma 2, un ulteriore contratto a tempo determinato fra gli stessi soggetti, della durata massima di dodici mesi, può essere stipulato presso la direzione territoriale del lavoro competente per territorio. In caso di mancato rispetto della descritta procedura, nonché di superamento del termine stabilito nel medesimo contratto, lo stesso si trasforma in contratto a tempo indeterminato dalla data della stipulazione.</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4.  Con l'eccezione dei rapporti di lavoro di durata non superiore a dodici giorni, l'apposizione del termine al contratto è priva di effetto se non risulta, direttamente o indirettamente, da </w:t>
      </w:r>
      <w:r w:rsidRPr="00144EAD">
        <w:rPr>
          <w:rFonts w:ascii="Bookman Old Style" w:hAnsi="Bookman Old Style"/>
          <w:b/>
        </w:rPr>
        <w:t>atto scritto</w:t>
      </w:r>
      <w:r w:rsidRPr="00AD62CE">
        <w:rPr>
          <w:rFonts w:ascii="Bookman Old Style" w:hAnsi="Bookman Old Style"/>
        </w:rPr>
        <w:t>, una copia del quale deve essere consegnata dal datore di lavoro al lavoratore entro cinque giorni lavorativi dall'inizio della prestazione.</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5.  Il datore di lavoro informa i lavoratori a tempo determinato, nonché le rappresentanze sindacali aziendali ovvero la rappresentanza sindacale unitaria, circa i posti vacanti che si rendono disponibili nell'impresa, secondo le modalità definite dai contratti collettivi.</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Art. 20.  Divieti</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1.  L'apposizione di un termine alla durata di un contratto di lavoro subordinato non è ammessa:</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a)  per la sostituzione di lavoratori che esercitano il </w:t>
      </w:r>
      <w:r w:rsidRPr="00144EAD">
        <w:rPr>
          <w:rFonts w:ascii="Bookman Old Style" w:hAnsi="Bookman Old Style"/>
          <w:b/>
        </w:rPr>
        <w:t>diritto di sciopero</w:t>
      </w:r>
      <w:r w:rsidRPr="00AD62CE">
        <w:rPr>
          <w:rFonts w:ascii="Bookman Old Style" w:hAnsi="Bookman Old Style"/>
        </w:rPr>
        <w:t xml:space="preserve">; </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b)  presso unità produttive nelle quali si è proceduto, entro i sei mesi precedenti, a </w:t>
      </w:r>
      <w:r w:rsidRPr="00144EAD">
        <w:rPr>
          <w:rFonts w:ascii="Bookman Old Style" w:hAnsi="Bookman Old Style"/>
          <w:b/>
        </w:rPr>
        <w:t>licenziamenti collettivi</w:t>
      </w:r>
      <w:r w:rsidRPr="00AD62CE">
        <w:rPr>
          <w:rFonts w:ascii="Bookman Old Style" w:hAnsi="Bookman Old Style"/>
        </w:rPr>
        <w:t xml:space="preserve"> a norma degli articoli </w:t>
      </w:r>
      <w:hyperlink r:id="rId13" w:history="1">
        <w:r w:rsidRPr="00AD62CE">
          <w:rPr>
            <w:rStyle w:val="Collegamentoipertestuale"/>
            <w:rFonts w:ascii="Bookman Old Style" w:hAnsi="Bookman Old Style"/>
          </w:rPr>
          <w:t>4</w:t>
        </w:r>
      </w:hyperlink>
      <w:r w:rsidRPr="00AD62CE">
        <w:rPr>
          <w:rFonts w:ascii="Bookman Old Style" w:hAnsi="Bookman Old Style"/>
        </w:rPr>
        <w:t xml:space="preserve"> e </w:t>
      </w:r>
      <w:hyperlink r:id="rId14" w:history="1">
        <w:r w:rsidRPr="00AD62CE">
          <w:rPr>
            <w:rStyle w:val="Collegamentoipertestuale"/>
            <w:rFonts w:ascii="Bookman Old Style" w:hAnsi="Bookman Old Style"/>
          </w:rPr>
          <w:t>24</w:t>
        </w:r>
      </w:hyperlink>
      <w:r w:rsidRPr="00AD62CE">
        <w:rPr>
          <w:rFonts w:ascii="Bookman Old Style" w:hAnsi="Bookman Old Style"/>
        </w:rPr>
        <w:t xml:space="preserve"> della </w:t>
      </w:r>
      <w:hyperlink r:id="rId15" w:history="1">
        <w:r w:rsidRPr="00AD62CE">
          <w:rPr>
            <w:rStyle w:val="Collegamentoipertestuale"/>
            <w:rFonts w:ascii="Bookman Old Style" w:hAnsi="Bookman Old Style"/>
          </w:rPr>
          <w:t>legge n. 223 del 1991</w:t>
        </w:r>
      </w:hyperlink>
      <w:r w:rsidRPr="00AD62CE">
        <w:rPr>
          <w:rFonts w:ascii="Bookman Old Style" w:hAnsi="Bookman Old Style"/>
        </w:rPr>
        <w:t xml:space="preserve">, che hanno riguardato lavoratori adibiti alle </w:t>
      </w:r>
      <w:r w:rsidRPr="00144EAD">
        <w:rPr>
          <w:rFonts w:ascii="Bookman Old Style" w:hAnsi="Bookman Old Style"/>
          <w:b/>
        </w:rPr>
        <w:t>stesse mansioni</w:t>
      </w:r>
      <w:r w:rsidRPr="00AD62CE">
        <w:rPr>
          <w:rFonts w:ascii="Bookman Old Style" w:hAnsi="Bookman Old Style"/>
        </w:rPr>
        <w:t xml:space="preserve"> cui si riferisce il contratto di lavoro a tempo determinato, </w:t>
      </w:r>
      <w:r w:rsidR="00144EAD">
        <w:rPr>
          <w:rFonts w:ascii="Bookman Old Style" w:hAnsi="Bookman Old Style"/>
        </w:rPr>
        <w:t>(…)</w:t>
      </w:r>
      <w:r w:rsidRPr="00AD62CE">
        <w:rPr>
          <w:rFonts w:ascii="Bookman Old Style" w:hAnsi="Bookman Old Style"/>
        </w:rPr>
        <w:t xml:space="preserve">; </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lastRenderedPageBreak/>
        <w:t xml:space="preserve">c)  presso unità produttive nelle quali sono operanti una sospensione del lavoro o una riduzione dell'orario in regime di </w:t>
      </w:r>
      <w:r w:rsidRPr="00144EAD">
        <w:rPr>
          <w:rFonts w:ascii="Bookman Old Style" w:hAnsi="Bookman Old Style"/>
          <w:b/>
        </w:rPr>
        <w:t>cassa integrazione guadagni</w:t>
      </w:r>
      <w:r w:rsidRPr="00AD62CE">
        <w:rPr>
          <w:rFonts w:ascii="Bookman Old Style" w:hAnsi="Bookman Old Style"/>
        </w:rPr>
        <w:t xml:space="preserve">, che interessano lavoratori adibiti alle mansioni cui si riferisce il contratto a tempo determinato; </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d)  da parte di datori di lavoro che non hanno effettuato la valutazione dei rischi in applicazione della normativa di tutela della salute e della sicurezza dei lavoratori.</w:t>
      </w:r>
    </w:p>
    <w:p w:rsidR="00AD62CE" w:rsidRPr="00144EAD" w:rsidRDefault="00AD62CE" w:rsidP="00AD62CE">
      <w:pPr>
        <w:spacing w:line="360" w:lineRule="auto"/>
        <w:jc w:val="both"/>
        <w:rPr>
          <w:rFonts w:ascii="Bookman Old Style" w:hAnsi="Bookman Old Style"/>
          <w:b/>
        </w:rPr>
      </w:pPr>
      <w:r w:rsidRPr="00AD62CE">
        <w:rPr>
          <w:rFonts w:ascii="Bookman Old Style" w:hAnsi="Bookman Old Style"/>
        </w:rPr>
        <w:t xml:space="preserve">2.  In caso di violazione dei divieti di cui al comma 1, </w:t>
      </w:r>
      <w:r w:rsidRPr="00144EAD">
        <w:rPr>
          <w:rFonts w:ascii="Bookman Old Style" w:hAnsi="Bookman Old Style"/>
          <w:b/>
        </w:rPr>
        <w:t>il contratto si trasforma in contratto a tempo indeterminato.</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Art. 21.  Proroghe e rinnovi</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1.  Il termine del contratto a tempo determinato può essere prorogato, con il consenso del lavoratore, solo quando la durata iniziale del contratto sia inferiore a trentasei mesi, e, comunque, per un </w:t>
      </w:r>
      <w:r w:rsidRPr="001A1FED">
        <w:rPr>
          <w:rFonts w:ascii="Bookman Old Style" w:hAnsi="Bookman Old Style"/>
          <w:b/>
        </w:rPr>
        <w:t>massimo di cinque volte</w:t>
      </w:r>
      <w:r w:rsidRPr="00AD62CE">
        <w:rPr>
          <w:rFonts w:ascii="Bookman Old Style" w:hAnsi="Bookman Old Style"/>
        </w:rPr>
        <w:t xml:space="preserve"> nell'arco di trentasei mesi a prescindere dal numero dei contratti. Qualora il numero delle proroghe sia superiore, </w:t>
      </w:r>
      <w:r w:rsidRPr="001A1FED">
        <w:rPr>
          <w:rFonts w:ascii="Bookman Old Style" w:hAnsi="Bookman Old Style"/>
          <w:b/>
        </w:rPr>
        <w:t>il contratto si trasforma in contratto a tempo indeterminato dalla data di decorrenza della sesta proroga</w:t>
      </w:r>
      <w:r w:rsidRPr="00AD62CE">
        <w:rPr>
          <w:rFonts w:ascii="Bookman Old Style" w:hAnsi="Bookman Old Style"/>
        </w:rPr>
        <w:t>.</w:t>
      </w:r>
    </w:p>
    <w:p w:rsidR="001A1FED" w:rsidRDefault="00AD62CE" w:rsidP="00AD62CE">
      <w:pPr>
        <w:spacing w:line="360" w:lineRule="auto"/>
        <w:jc w:val="both"/>
        <w:rPr>
          <w:rFonts w:ascii="Bookman Old Style" w:hAnsi="Bookman Old Style"/>
        </w:rPr>
      </w:pPr>
      <w:r w:rsidRPr="00AD62CE">
        <w:rPr>
          <w:rFonts w:ascii="Bookman Old Style" w:hAnsi="Bookman Old Style"/>
        </w:rPr>
        <w:t xml:space="preserve">2.  Qualora il lavoratore sia </w:t>
      </w:r>
      <w:r w:rsidRPr="001A1FED">
        <w:rPr>
          <w:rFonts w:ascii="Bookman Old Style" w:hAnsi="Bookman Old Style"/>
          <w:b/>
        </w:rPr>
        <w:t>riassunto a tempo determinato entro</w:t>
      </w:r>
      <w:r w:rsidRPr="00AD62CE">
        <w:rPr>
          <w:rFonts w:ascii="Bookman Old Style" w:hAnsi="Bookman Old Style"/>
        </w:rPr>
        <w:t xml:space="preserve"> dieci giorni dalla data di scadenza di un contratto di durata fino a sei mesi, ovvero venti giorni dalla data di scadenza di un contratto di durata superiore a sei mesi, </w:t>
      </w:r>
      <w:r w:rsidRPr="001A1FED">
        <w:rPr>
          <w:rFonts w:ascii="Bookman Old Style" w:hAnsi="Bookman Old Style"/>
          <w:b/>
        </w:rPr>
        <w:t>il secondo contratto si trasforma in contratto a tempo indeterminato</w:t>
      </w:r>
      <w:r w:rsidRPr="00AD62CE">
        <w:rPr>
          <w:rFonts w:ascii="Bookman Old Style" w:hAnsi="Bookman Old Style"/>
        </w:rPr>
        <w:t xml:space="preserve">. </w:t>
      </w:r>
      <w:r w:rsidR="001A1FED">
        <w:rPr>
          <w:rFonts w:ascii="Bookman Old Style" w:hAnsi="Bookman Old Style"/>
        </w:rPr>
        <w:t>(…)</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Art. 22.  Continuazione del rapporto oltre la scadenza del termine</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1.  Fermi i limiti di durata massima di cui all'articolo 19, se il rapporto di lavoro </w:t>
      </w:r>
      <w:r w:rsidRPr="00841FC5">
        <w:rPr>
          <w:rFonts w:ascii="Bookman Old Style" w:hAnsi="Bookman Old Style"/>
          <w:b/>
        </w:rPr>
        <w:t>continua dopo la scadenza del termine inizialmente fissato o successivamente prorogato,</w:t>
      </w:r>
      <w:r w:rsidRPr="00AD62CE">
        <w:rPr>
          <w:rFonts w:ascii="Bookman Old Style" w:hAnsi="Bookman Old Style"/>
        </w:rPr>
        <w:t xml:space="preserve"> il datore di lavoro è tenuto a corrispondere al lavoratore una </w:t>
      </w:r>
      <w:r w:rsidRPr="00841FC5">
        <w:rPr>
          <w:rFonts w:ascii="Bookman Old Style" w:hAnsi="Bookman Old Style"/>
          <w:b/>
        </w:rPr>
        <w:t>maggiorazione della retribuzione</w:t>
      </w:r>
      <w:r w:rsidRPr="00AD62CE">
        <w:rPr>
          <w:rFonts w:ascii="Bookman Old Style" w:hAnsi="Bookman Old Style"/>
        </w:rPr>
        <w:t xml:space="preserve"> per ogni giorno di continuazione del rapporto pari al 20 per cento fino al decimo giorno successivo e al 40 per cento per ciascun giorno ulteriore.</w:t>
      </w:r>
    </w:p>
    <w:p w:rsidR="00AD62CE" w:rsidRPr="00F5177E" w:rsidRDefault="00AD62CE" w:rsidP="00AD62CE">
      <w:pPr>
        <w:spacing w:line="360" w:lineRule="auto"/>
        <w:jc w:val="both"/>
        <w:rPr>
          <w:rFonts w:ascii="Bookman Old Style" w:hAnsi="Bookman Old Style"/>
          <w:b/>
        </w:rPr>
      </w:pPr>
      <w:r w:rsidRPr="00AD62CE">
        <w:rPr>
          <w:rFonts w:ascii="Bookman Old Style" w:hAnsi="Bookman Old Style"/>
        </w:rPr>
        <w:t xml:space="preserve">2.  Qualora il rapporto di lavoro </w:t>
      </w:r>
      <w:r w:rsidRPr="00841FC5">
        <w:rPr>
          <w:rFonts w:ascii="Bookman Old Style" w:hAnsi="Bookman Old Style"/>
          <w:b/>
        </w:rPr>
        <w:t>continui oltre il trentesimo giorno</w:t>
      </w:r>
      <w:r w:rsidRPr="00AD62CE">
        <w:rPr>
          <w:rFonts w:ascii="Bookman Old Style" w:hAnsi="Bookman Old Style"/>
        </w:rPr>
        <w:t xml:space="preserve"> in caso di contratto di durata inferiore a sei mesi, ovvero </w:t>
      </w:r>
      <w:r w:rsidRPr="00F5177E">
        <w:rPr>
          <w:rFonts w:ascii="Bookman Old Style" w:hAnsi="Bookman Old Style"/>
          <w:b/>
        </w:rPr>
        <w:t>oltre il cinquantesimo giorno</w:t>
      </w:r>
      <w:r w:rsidRPr="00AD62CE">
        <w:rPr>
          <w:rFonts w:ascii="Bookman Old Style" w:hAnsi="Bookman Old Style"/>
        </w:rPr>
        <w:t xml:space="preserve"> negli altri casi, </w:t>
      </w:r>
      <w:r w:rsidRPr="00F5177E">
        <w:rPr>
          <w:rFonts w:ascii="Bookman Old Style" w:hAnsi="Bookman Old Style"/>
          <w:b/>
        </w:rPr>
        <w:t>il contratto si trasforma in contratto a tempo indeterminato dalla scadenza dei predetti termini.</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Art. 23.  Numero complessivo di contratti a tempo determinato</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1.  Salvo diversa disposizione dei contratti collettivi non possono essere assunti lavoratori a tempo determinato in </w:t>
      </w:r>
      <w:r w:rsidRPr="004862D2">
        <w:rPr>
          <w:rFonts w:ascii="Bookman Old Style" w:hAnsi="Bookman Old Style"/>
          <w:b/>
        </w:rPr>
        <w:t xml:space="preserve">misura superiore al 20 per cento del </w:t>
      </w:r>
      <w:r w:rsidRPr="004862D2">
        <w:rPr>
          <w:rFonts w:ascii="Bookman Old Style" w:hAnsi="Bookman Old Style"/>
          <w:b/>
        </w:rPr>
        <w:lastRenderedPageBreak/>
        <w:t>numero dei lavoratori a tempo indeterminato</w:t>
      </w:r>
      <w:r w:rsidRPr="00AD62CE">
        <w:rPr>
          <w:rFonts w:ascii="Bookman Old Style" w:hAnsi="Bookman Old Style"/>
        </w:rPr>
        <w:t xml:space="preserve"> in forza al 1° gennaio dell'anno di assunzione, </w:t>
      </w:r>
      <w:r w:rsidR="004862D2">
        <w:rPr>
          <w:rFonts w:ascii="Bookman Old Style" w:hAnsi="Bookman Old Style"/>
        </w:rPr>
        <w:t>(…).</w:t>
      </w:r>
      <w:r w:rsidRPr="00AD62CE">
        <w:rPr>
          <w:rFonts w:ascii="Bookman Old Style" w:hAnsi="Bookman Old Style"/>
        </w:rPr>
        <w:t xml:space="preserve"> Per i datori di lavoro che occupano fino a cinque dipendenti è sempre possibile stipulare un contratto di lavoro a tempo determinato.</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2.  Sono </w:t>
      </w:r>
      <w:r w:rsidRPr="003748E6">
        <w:rPr>
          <w:rFonts w:ascii="Bookman Old Style" w:hAnsi="Bookman Old Style"/>
          <w:b/>
        </w:rPr>
        <w:t>esenti dal limite di cui al comma</w:t>
      </w:r>
      <w:r w:rsidRPr="00AD62CE">
        <w:rPr>
          <w:rFonts w:ascii="Bookman Old Style" w:hAnsi="Bookman Old Style"/>
        </w:rPr>
        <w:t xml:space="preserve"> 1, nonché da eventuali limitazioni quantitative previste da contratti collettivi, i contratti a tempo determinato conclusi:</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a)  nella fase di avvio di </w:t>
      </w:r>
      <w:r w:rsidRPr="003748E6">
        <w:rPr>
          <w:rFonts w:ascii="Bookman Old Style" w:hAnsi="Bookman Old Style"/>
          <w:b/>
        </w:rPr>
        <w:t>nuove attività</w:t>
      </w:r>
      <w:r w:rsidRPr="00AD62CE">
        <w:rPr>
          <w:rFonts w:ascii="Bookman Old Style" w:hAnsi="Bookman Old Style"/>
        </w:rPr>
        <w:t xml:space="preserve">, per i periodi definiti dai contratti collettivi, anche in misura non uniforme con riferimento ad aree geografiche e comparti merceologici; </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b)  da imprese start-up innovative </w:t>
      </w:r>
      <w:r w:rsidR="003748E6">
        <w:rPr>
          <w:rFonts w:ascii="Bookman Old Style" w:hAnsi="Bookman Old Style"/>
        </w:rPr>
        <w:t>(…)</w:t>
      </w:r>
      <w:r w:rsidRPr="00AD62CE">
        <w:rPr>
          <w:rFonts w:ascii="Bookman Old Style" w:hAnsi="Bookman Old Style"/>
        </w:rPr>
        <w:t xml:space="preserve">; </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c)  per lo svolgimento delle </w:t>
      </w:r>
      <w:r w:rsidRPr="003748E6">
        <w:rPr>
          <w:rFonts w:ascii="Bookman Old Style" w:hAnsi="Bookman Old Style"/>
          <w:b/>
        </w:rPr>
        <w:t>attività stagionali</w:t>
      </w:r>
      <w:r w:rsidRPr="00AD62CE">
        <w:rPr>
          <w:rFonts w:ascii="Bookman Old Style" w:hAnsi="Bookman Old Style"/>
        </w:rPr>
        <w:t xml:space="preserve"> di cui all'articolo 21, comma 2; </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d)  per specifici </w:t>
      </w:r>
      <w:r w:rsidRPr="003748E6">
        <w:rPr>
          <w:rFonts w:ascii="Bookman Old Style" w:hAnsi="Bookman Old Style"/>
          <w:b/>
        </w:rPr>
        <w:t xml:space="preserve">spettacoli </w:t>
      </w:r>
      <w:r w:rsidRPr="00AD62CE">
        <w:rPr>
          <w:rFonts w:ascii="Bookman Old Style" w:hAnsi="Bookman Old Style"/>
        </w:rPr>
        <w:t xml:space="preserve">ovvero specifici programmi radiofonici o televisivi; </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e)  per </w:t>
      </w:r>
      <w:r w:rsidRPr="003748E6">
        <w:rPr>
          <w:rFonts w:ascii="Bookman Old Style" w:hAnsi="Bookman Old Style"/>
          <w:b/>
        </w:rPr>
        <w:t>sostituzione di lavoratori assenti</w:t>
      </w:r>
      <w:r w:rsidRPr="00AD62CE">
        <w:rPr>
          <w:rFonts w:ascii="Bookman Old Style" w:hAnsi="Bookman Old Style"/>
        </w:rPr>
        <w:t xml:space="preserve">; </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f)  con </w:t>
      </w:r>
      <w:r w:rsidRPr="003748E6">
        <w:rPr>
          <w:rFonts w:ascii="Bookman Old Style" w:hAnsi="Bookman Old Style"/>
          <w:b/>
        </w:rPr>
        <w:t>lavoratori di età superiore a 50 anni</w:t>
      </w:r>
      <w:r w:rsidRPr="00AD62CE">
        <w:rPr>
          <w:rFonts w:ascii="Bookman Old Style" w:hAnsi="Bookman Old Style"/>
        </w:rPr>
        <w:t>.</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3.  </w:t>
      </w:r>
      <w:r w:rsidR="003748E6">
        <w:rPr>
          <w:rFonts w:ascii="Bookman Old Style" w:hAnsi="Bookman Old Style"/>
        </w:rPr>
        <w:t>(…)</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4.  In caso di </w:t>
      </w:r>
      <w:r w:rsidRPr="003748E6">
        <w:rPr>
          <w:rFonts w:ascii="Bookman Old Style" w:hAnsi="Bookman Old Style"/>
          <w:b/>
        </w:rPr>
        <w:t>violazione del limite percentuale</w:t>
      </w:r>
      <w:r w:rsidRPr="00AD62CE">
        <w:rPr>
          <w:rFonts w:ascii="Bookman Old Style" w:hAnsi="Bookman Old Style"/>
        </w:rPr>
        <w:t xml:space="preserve"> di cui al comma 1, restando esclusa la trasformazione dei contratti interessati in contratti a tempo indeterminato, per ciascun lavoratore si applica una </w:t>
      </w:r>
      <w:r w:rsidRPr="003748E6">
        <w:rPr>
          <w:rFonts w:ascii="Bookman Old Style" w:hAnsi="Bookman Old Style"/>
          <w:b/>
        </w:rPr>
        <w:t>sanzione amministrativa</w:t>
      </w:r>
      <w:r w:rsidRPr="00AD62CE">
        <w:rPr>
          <w:rFonts w:ascii="Bookman Old Style" w:hAnsi="Bookman Old Style"/>
        </w:rPr>
        <w:t xml:space="preserve"> di importo pari:</w:t>
      </w:r>
    </w:p>
    <w:p w:rsidR="00AD62CE" w:rsidRPr="00AD62CE" w:rsidRDefault="003748E6" w:rsidP="00AD62CE">
      <w:pPr>
        <w:spacing w:line="360" w:lineRule="auto"/>
        <w:jc w:val="both"/>
        <w:rPr>
          <w:rFonts w:ascii="Bookman Old Style" w:hAnsi="Bookman Old Style"/>
        </w:rPr>
      </w:pPr>
      <w:r>
        <w:rPr>
          <w:rFonts w:ascii="Bookman Old Style" w:hAnsi="Bookman Old Style"/>
        </w:rPr>
        <w:t>(…)</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Art. 24.  Diritti di precedenza</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1.  Salvo diversa disposizione dei contratti collettivi, il lavoratore che, nell'esecuzione di uno o più contratti a tempo determinato presso la stessa azienda, ha prestato attività lavorativa per un </w:t>
      </w:r>
      <w:r w:rsidRPr="00666B35">
        <w:rPr>
          <w:rFonts w:ascii="Bookman Old Style" w:hAnsi="Bookman Old Style"/>
          <w:b/>
        </w:rPr>
        <w:t>periodo superiore a sei mesi</w:t>
      </w:r>
      <w:r w:rsidRPr="00AD62CE">
        <w:rPr>
          <w:rFonts w:ascii="Bookman Old Style" w:hAnsi="Bookman Old Style"/>
        </w:rPr>
        <w:t xml:space="preserve"> ha diritto di </w:t>
      </w:r>
      <w:r w:rsidRPr="00666B35">
        <w:rPr>
          <w:rFonts w:ascii="Bookman Old Style" w:hAnsi="Bookman Old Style"/>
          <w:b/>
        </w:rPr>
        <w:t>precedenza nelle assunzioni a tempo indeterminato</w:t>
      </w:r>
      <w:r w:rsidRPr="00AD62CE">
        <w:rPr>
          <w:rFonts w:ascii="Bookman Old Style" w:hAnsi="Bookman Old Style"/>
        </w:rPr>
        <w:t xml:space="preserve"> effettuate dal datore di lavoro entro i successivi dodici mesi con riferimento alle mansioni già espletate in esecuzione dei rapporti a termine.</w:t>
      </w:r>
    </w:p>
    <w:p w:rsidR="00AD62CE" w:rsidRPr="00AD62CE" w:rsidRDefault="00666B35" w:rsidP="00AD62CE">
      <w:pPr>
        <w:spacing w:line="360" w:lineRule="auto"/>
        <w:jc w:val="both"/>
        <w:rPr>
          <w:rFonts w:ascii="Bookman Old Style" w:hAnsi="Bookman Old Style"/>
        </w:rPr>
      </w:pPr>
      <w:r>
        <w:rPr>
          <w:rFonts w:ascii="Bookman Old Style" w:hAnsi="Bookman Old Style"/>
        </w:rPr>
        <w:t>(…)</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Art. 25.  Principio di non discriminazione</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1.  Al lavoratore a tempo determinato spetta il </w:t>
      </w:r>
      <w:r w:rsidRPr="00666B35">
        <w:rPr>
          <w:rFonts w:ascii="Bookman Old Style" w:hAnsi="Bookman Old Style"/>
          <w:b/>
        </w:rPr>
        <w:t xml:space="preserve">trattamento economico e normativo in atto nell'impresa per i lavoratori con contratto a tempo indeterminato </w:t>
      </w:r>
      <w:r w:rsidRPr="00AD62CE">
        <w:rPr>
          <w:rFonts w:ascii="Bookman Old Style" w:hAnsi="Bookman Old Style"/>
        </w:rPr>
        <w:t xml:space="preserve">comparabili, intendendosi per tali quelli inquadrati nello stesso </w:t>
      </w:r>
      <w:r w:rsidRPr="00AD62CE">
        <w:rPr>
          <w:rFonts w:ascii="Bookman Old Style" w:hAnsi="Bookman Old Style"/>
        </w:rPr>
        <w:lastRenderedPageBreak/>
        <w:t>livello in forza dei criteri di classificazione stabiliti dalla contrattazione collettiva, ed in proporzione al periodo lavorativo prestato, sempre che non sia obiettivamente incompatibile con la natura del contratto a tempo determinato.</w:t>
      </w:r>
    </w:p>
    <w:p w:rsidR="00AD62CE" w:rsidRPr="00AD62CE" w:rsidRDefault="00666B35" w:rsidP="00AD62CE">
      <w:pPr>
        <w:spacing w:line="360" w:lineRule="auto"/>
        <w:jc w:val="both"/>
        <w:rPr>
          <w:rFonts w:ascii="Bookman Old Style" w:hAnsi="Bookman Old Style"/>
        </w:rPr>
      </w:pPr>
      <w:r>
        <w:rPr>
          <w:rFonts w:ascii="Bookman Old Style" w:hAnsi="Bookman Old Style"/>
        </w:rPr>
        <w:t>(…)</w:t>
      </w:r>
    </w:p>
    <w:p w:rsidR="00186C12" w:rsidRDefault="00AD62CE" w:rsidP="00186C12">
      <w:pPr>
        <w:spacing w:line="360" w:lineRule="auto"/>
        <w:jc w:val="both"/>
        <w:rPr>
          <w:rFonts w:ascii="Bookman Old Style" w:hAnsi="Bookman Old Style"/>
        </w:rPr>
      </w:pPr>
      <w:r w:rsidRPr="00AD62CE">
        <w:rPr>
          <w:rFonts w:ascii="Bookman Old Style" w:hAnsi="Bookman Old Style"/>
        </w:rPr>
        <w:t>Art. 28.  Decadenza e tutele</w:t>
      </w:r>
    </w:p>
    <w:p w:rsidR="00AD62CE" w:rsidRPr="00186C12" w:rsidRDefault="00186C12" w:rsidP="00186C12">
      <w:pPr>
        <w:spacing w:line="360" w:lineRule="auto"/>
        <w:jc w:val="both"/>
        <w:rPr>
          <w:rFonts w:ascii="Bookman Old Style" w:hAnsi="Bookman Old Style"/>
        </w:rPr>
      </w:pPr>
      <w:r>
        <w:rPr>
          <w:rFonts w:ascii="Bookman Old Style" w:hAnsi="Bookman Old Style"/>
        </w:rPr>
        <w:t xml:space="preserve">1. </w:t>
      </w:r>
      <w:r w:rsidR="00AD62CE" w:rsidRPr="00186C12">
        <w:rPr>
          <w:rFonts w:ascii="Bookman Old Style" w:hAnsi="Bookman Old Style"/>
        </w:rPr>
        <w:t xml:space="preserve">L'impugnazione del contratto a tempo determinato deve avvenire, con le modalità previste dal primo comma dell'articolo </w:t>
      </w:r>
      <w:hyperlink r:id="rId16" w:history="1">
        <w:r w:rsidR="00AD62CE" w:rsidRPr="00186C12">
          <w:rPr>
            <w:rStyle w:val="Collegamentoipertestuale"/>
            <w:rFonts w:ascii="Bookman Old Style" w:hAnsi="Bookman Old Style"/>
          </w:rPr>
          <w:t>6</w:t>
        </w:r>
      </w:hyperlink>
      <w:r w:rsidR="00AD62CE" w:rsidRPr="00186C12">
        <w:rPr>
          <w:rFonts w:ascii="Bookman Old Style" w:hAnsi="Bookman Old Style"/>
        </w:rPr>
        <w:t xml:space="preserve"> della </w:t>
      </w:r>
      <w:hyperlink r:id="rId17" w:history="1">
        <w:r w:rsidR="00AD62CE" w:rsidRPr="00186C12">
          <w:rPr>
            <w:rStyle w:val="Collegamentoipertestuale"/>
            <w:rFonts w:ascii="Bookman Old Style" w:hAnsi="Bookman Old Style"/>
          </w:rPr>
          <w:t>legge 15 luglio 1966, n. 604</w:t>
        </w:r>
      </w:hyperlink>
      <w:r w:rsidR="00AD62CE" w:rsidRPr="00186C12">
        <w:rPr>
          <w:rFonts w:ascii="Bookman Old Style" w:hAnsi="Bookman Old Style"/>
        </w:rPr>
        <w:t xml:space="preserve">, </w:t>
      </w:r>
      <w:r w:rsidR="00AD62CE" w:rsidRPr="00186C12">
        <w:rPr>
          <w:rFonts w:ascii="Bookman Old Style" w:hAnsi="Bookman Old Style"/>
          <w:b/>
        </w:rPr>
        <w:t>entro centoventi giorni dalla cessazione del singolo contratto</w:t>
      </w:r>
      <w:r w:rsidR="00AD62CE" w:rsidRPr="00186C12">
        <w:rPr>
          <w:rFonts w:ascii="Bookman Old Style" w:hAnsi="Bookman Old Style"/>
        </w:rPr>
        <w:t>. Trova altresì applicazione il secondo comma del suddetto articolo 6.</w:t>
      </w:r>
    </w:p>
    <w:p w:rsidR="00AD62CE" w:rsidRPr="00AD62CE" w:rsidRDefault="00AD62CE" w:rsidP="00AD62CE">
      <w:pPr>
        <w:spacing w:line="360" w:lineRule="auto"/>
        <w:jc w:val="both"/>
        <w:rPr>
          <w:rFonts w:ascii="Bookman Old Style" w:hAnsi="Bookman Old Style"/>
        </w:rPr>
      </w:pPr>
      <w:r w:rsidRPr="00AD62CE">
        <w:rPr>
          <w:rFonts w:ascii="Bookman Old Style" w:hAnsi="Bookman Old Style"/>
        </w:rPr>
        <w:t xml:space="preserve">2.  Nei casi di trasformazione del contratto a tempo determinato in contratto a tempo indeterminato, il giudice condanna il datore di lavoro al risarcimento del danno a favore del lavoratore stabilendo </w:t>
      </w:r>
      <w:r w:rsidRPr="00504282">
        <w:rPr>
          <w:rFonts w:ascii="Bookman Old Style" w:hAnsi="Bookman Old Style"/>
          <w:b/>
        </w:rPr>
        <w:t>un'indennità onnicomprensiva nella misura compresa tra un minimo di 2,5 e un massimo di 12 mensilità dell'ultima retribuzione di riferimento per il calcolo del trattamento di fine rapporto</w:t>
      </w:r>
      <w:r w:rsidR="00504282">
        <w:rPr>
          <w:rFonts w:ascii="Bookman Old Style" w:hAnsi="Bookman Old Style"/>
        </w:rPr>
        <w:t xml:space="preserve"> (…)</w:t>
      </w:r>
      <w:r w:rsidRPr="00AD62CE">
        <w:rPr>
          <w:rFonts w:ascii="Bookman Old Style" w:hAnsi="Bookman Old Style"/>
        </w:rPr>
        <w:t>. La predetta indennità ristora per intero il pregiudizio subito dal lavoratore, comprese le conseguenze retributive e contributive relative al periodo compreso tra la scadenza del termine e la pronuncia con la quale il giudice ha ordinato la ricostituzione del rapporto di lavoro.</w:t>
      </w:r>
    </w:p>
    <w:p w:rsidR="00AD62CE" w:rsidRPr="00AD62CE" w:rsidRDefault="00504282" w:rsidP="00AD62CE">
      <w:pPr>
        <w:spacing w:line="360" w:lineRule="auto"/>
        <w:jc w:val="both"/>
        <w:rPr>
          <w:rFonts w:ascii="Bookman Old Style" w:hAnsi="Bookman Old Style"/>
        </w:rPr>
      </w:pPr>
      <w:r>
        <w:rPr>
          <w:rFonts w:ascii="Bookman Old Style" w:hAnsi="Bookman Old Style"/>
        </w:rPr>
        <w:t>(…)</w:t>
      </w:r>
    </w:p>
    <w:p w:rsidR="00AD62CE" w:rsidRPr="00AD62CE" w:rsidRDefault="00AD62CE" w:rsidP="00AD62CE">
      <w:pPr>
        <w:spacing w:line="360" w:lineRule="auto"/>
        <w:jc w:val="both"/>
        <w:rPr>
          <w:rFonts w:ascii="Bookman Old Style" w:hAnsi="Bookman Old Style"/>
        </w:rPr>
      </w:pPr>
    </w:p>
    <w:p w:rsidR="005330D9" w:rsidRPr="00A041F5" w:rsidRDefault="005330D9" w:rsidP="00A041F5">
      <w:pPr>
        <w:spacing w:line="360" w:lineRule="auto"/>
        <w:jc w:val="both"/>
        <w:rPr>
          <w:rFonts w:ascii="Bookman Old Style" w:hAnsi="Bookman Old Style"/>
        </w:rPr>
      </w:pPr>
    </w:p>
    <w:p w:rsidR="0064663E" w:rsidRDefault="001B2503">
      <w:pPr>
        <w:rPr>
          <w:rFonts w:ascii="Bookman Old Style" w:hAnsi="Bookman Old Style"/>
        </w:rPr>
      </w:pPr>
    </w:p>
    <w:p w:rsidR="005D7ABD" w:rsidRDefault="005D7ABD" w:rsidP="005D7ABD">
      <w:pPr>
        <w:pStyle w:val="provvr0"/>
      </w:pPr>
      <w:bookmarkStart w:id="0" w:name="_GoBack"/>
      <w:bookmarkEnd w:id="0"/>
    </w:p>
    <w:p w:rsidR="005D7ABD" w:rsidRDefault="005D7ABD" w:rsidP="00A571F5"/>
    <w:sectPr w:rsidR="005D7ABD" w:rsidSect="005B6BDD">
      <w:pgSz w:w="12240" w:h="15840"/>
      <w:pgMar w:top="1134" w:right="170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altName w:val="Georgia"/>
    <w:panose1 w:val="02050604050505020204"/>
    <w:charset w:val="00"/>
    <w:family w:val="roman"/>
    <w:pitch w:val="variable"/>
    <w:sig w:usb0="00000001"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03DB"/>
    <w:multiLevelType w:val="hybridMultilevel"/>
    <w:tmpl w:val="36B887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8A21E5"/>
    <w:multiLevelType w:val="hybridMultilevel"/>
    <w:tmpl w:val="EEF026C8"/>
    <w:lvl w:ilvl="0" w:tplc="03FC59FE">
      <w:start w:val="3"/>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drawingGridHorizontalSpacing w:val="10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06"/>
    <w:rsid w:val="00020DB2"/>
    <w:rsid w:val="001132AD"/>
    <w:rsid w:val="00144EAD"/>
    <w:rsid w:val="00186C12"/>
    <w:rsid w:val="001A1FED"/>
    <w:rsid w:val="001B2503"/>
    <w:rsid w:val="00256B32"/>
    <w:rsid w:val="00272BC1"/>
    <w:rsid w:val="0035440A"/>
    <w:rsid w:val="003748E6"/>
    <w:rsid w:val="00426206"/>
    <w:rsid w:val="00433020"/>
    <w:rsid w:val="004367B6"/>
    <w:rsid w:val="004862D2"/>
    <w:rsid w:val="00504282"/>
    <w:rsid w:val="005330D9"/>
    <w:rsid w:val="00573453"/>
    <w:rsid w:val="005A02DD"/>
    <w:rsid w:val="005B6BDD"/>
    <w:rsid w:val="005D7ABD"/>
    <w:rsid w:val="00666B35"/>
    <w:rsid w:val="006F533A"/>
    <w:rsid w:val="00703B71"/>
    <w:rsid w:val="00756C88"/>
    <w:rsid w:val="00841FC5"/>
    <w:rsid w:val="00844FF6"/>
    <w:rsid w:val="008C343C"/>
    <w:rsid w:val="008E6307"/>
    <w:rsid w:val="00A0087F"/>
    <w:rsid w:val="00A041F5"/>
    <w:rsid w:val="00A571F5"/>
    <w:rsid w:val="00AC1C45"/>
    <w:rsid w:val="00AD62CE"/>
    <w:rsid w:val="00AF1422"/>
    <w:rsid w:val="00C2482F"/>
    <w:rsid w:val="00C57210"/>
    <w:rsid w:val="00DC7EB2"/>
    <w:rsid w:val="00F5177E"/>
    <w:rsid w:val="00FF5D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0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0D9"/>
    <w:pPr>
      <w:ind w:left="720"/>
      <w:contextualSpacing/>
    </w:pPr>
  </w:style>
  <w:style w:type="character" w:styleId="Collegamentoipertestuale">
    <w:name w:val="Hyperlink"/>
    <w:basedOn w:val="Carpredefinitoparagrafo"/>
    <w:uiPriority w:val="99"/>
    <w:unhideWhenUsed/>
    <w:rsid w:val="00A571F5"/>
    <w:rPr>
      <w:color w:val="0000FF" w:themeColor="hyperlink"/>
      <w:u w:val="single"/>
    </w:rPr>
  </w:style>
  <w:style w:type="paragraph" w:customStyle="1" w:styleId="provvambito">
    <w:name w:val="provv_ambito"/>
    <w:basedOn w:val="Normale"/>
    <w:rsid w:val="00A571F5"/>
    <w:pPr>
      <w:spacing w:before="100" w:beforeAutospacing="1" w:after="100" w:afterAutospacing="1"/>
    </w:pPr>
  </w:style>
  <w:style w:type="paragraph" w:styleId="NormaleWeb">
    <w:name w:val="Normal (Web)"/>
    <w:basedOn w:val="Normale"/>
    <w:uiPriority w:val="99"/>
    <w:semiHidden/>
    <w:unhideWhenUsed/>
    <w:rsid w:val="00A571F5"/>
    <w:pPr>
      <w:spacing w:before="100" w:beforeAutospacing="1" w:after="100" w:afterAutospacing="1"/>
    </w:pPr>
  </w:style>
  <w:style w:type="character" w:customStyle="1" w:styleId="provvnumart">
    <w:name w:val="provv_numart"/>
    <w:basedOn w:val="Carpredefinitoparagrafo"/>
    <w:rsid w:val="00A571F5"/>
  </w:style>
  <w:style w:type="character" w:customStyle="1" w:styleId="provvrubrica">
    <w:name w:val="provv_rubrica"/>
    <w:basedOn w:val="Carpredefinitoparagrafo"/>
    <w:rsid w:val="00A571F5"/>
  </w:style>
  <w:style w:type="paragraph" w:customStyle="1" w:styleId="provvr0">
    <w:name w:val="provv_r0"/>
    <w:basedOn w:val="Normale"/>
    <w:rsid w:val="00A571F5"/>
    <w:pPr>
      <w:spacing w:before="100" w:beforeAutospacing="1" w:after="100" w:afterAutospacing="1"/>
    </w:pPr>
  </w:style>
  <w:style w:type="character" w:customStyle="1" w:styleId="provvnumcomma">
    <w:name w:val="provv_numcomma"/>
    <w:basedOn w:val="Carpredefinitoparagrafo"/>
    <w:rsid w:val="00A571F5"/>
  </w:style>
  <w:style w:type="paragraph" w:customStyle="1" w:styleId="provvsommarioambito">
    <w:name w:val="provv_sommario_ambito"/>
    <w:basedOn w:val="Normale"/>
    <w:rsid w:val="00A571F5"/>
    <w:pPr>
      <w:spacing w:before="100" w:beforeAutospacing="1" w:after="100" w:afterAutospacing="1"/>
    </w:pPr>
  </w:style>
  <w:style w:type="paragraph" w:customStyle="1" w:styleId="provvsommarioart">
    <w:name w:val="provv_sommario_art"/>
    <w:basedOn w:val="Normale"/>
    <w:rsid w:val="00A571F5"/>
    <w:pPr>
      <w:spacing w:before="100" w:beforeAutospacing="1" w:after="100" w:afterAutospacing="1"/>
    </w:pPr>
  </w:style>
  <w:style w:type="character" w:customStyle="1" w:styleId="provvsommarionumart">
    <w:name w:val="provv_sommario_numart"/>
    <w:basedOn w:val="Carpredefinitoparagrafo"/>
    <w:rsid w:val="00A571F5"/>
  </w:style>
  <w:style w:type="character" w:customStyle="1" w:styleId="provvsommariorubrica">
    <w:name w:val="provv_sommario_rubrica"/>
    <w:basedOn w:val="Carpredefinitoparagrafo"/>
    <w:rsid w:val="00A571F5"/>
  </w:style>
  <w:style w:type="character" w:customStyle="1" w:styleId="linkneltesto">
    <w:name w:val="link_nel_testo"/>
    <w:basedOn w:val="Carpredefinitoparagrafo"/>
    <w:rsid w:val="005D7ABD"/>
  </w:style>
  <w:style w:type="paragraph" w:customStyle="1" w:styleId="sep-testo-note">
    <w:name w:val="sep-testo-note"/>
    <w:basedOn w:val="Normale"/>
    <w:rsid w:val="005D7ABD"/>
    <w:pPr>
      <w:spacing w:before="100" w:beforeAutospacing="1" w:after="100" w:afterAutospacing="1"/>
    </w:pPr>
  </w:style>
  <w:style w:type="paragraph" w:styleId="Testofumetto">
    <w:name w:val="Balloon Text"/>
    <w:basedOn w:val="Normale"/>
    <w:link w:val="TestofumettoCarattere"/>
    <w:uiPriority w:val="99"/>
    <w:semiHidden/>
    <w:unhideWhenUsed/>
    <w:rsid w:val="00C248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482F"/>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30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0D9"/>
    <w:pPr>
      <w:ind w:left="720"/>
      <w:contextualSpacing/>
    </w:pPr>
  </w:style>
  <w:style w:type="character" w:styleId="Collegamentoipertestuale">
    <w:name w:val="Hyperlink"/>
    <w:basedOn w:val="Carpredefinitoparagrafo"/>
    <w:uiPriority w:val="99"/>
    <w:unhideWhenUsed/>
    <w:rsid w:val="00A571F5"/>
    <w:rPr>
      <w:color w:val="0000FF" w:themeColor="hyperlink"/>
      <w:u w:val="single"/>
    </w:rPr>
  </w:style>
  <w:style w:type="paragraph" w:customStyle="1" w:styleId="provvambito">
    <w:name w:val="provv_ambito"/>
    <w:basedOn w:val="Normale"/>
    <w:rsid w:val="00A571F5"/>
    <w:pPr>
      <w:spacing w:before="100" w:beforeAutospacing="1" w:after="100" w:afterAutospacing="1"/>
    </w:pPr>
  </w:style>
  <w:style w:type="paragraph" w:styleId="NormaleWeb">
    <w:name w:val="Normal (Web)"/>
    <w:basedOn w:val="Normale"/>
    <w:uiPriority w:val="99"/>
    <w:semiHidden/>
    <w:unhideWhenUsed/>
    <w:rsid w:val="00A571F5"/>
    <w:pPr>
      <w:spacing w:before="100" w:beforeAutospacing="1" w:after="100" w:afterAutospacing="1"/>
    </w:pPr>
  </w:style>
  <w:style w:type="character" w:customStyle="1" w:styleId="provvnumart">
    <w:name w:val="provv_numart"/>
    <w:basedOn w:val="Carpredefinitoparagrafo"/>
    <w:rsid w:val="00A571F5"/>
  </w:style>
  <w:style w:type="character" w:customStyle="1" w:styleId="provvrubrica">
    <w:name w:val="provv_rubrica"/>
    <w:basedOn w:val="Carpredefinitoparagrafo"/>
    <w:rsid w:val="00A571F5"/>
  </w:style>
  <w:style w:type="paragraph" w:customStyle="1" w:styleId="provvr0">
    <w:name w:val="provv_r0"/>
    <w:basedOn w:val="Normale"/>
    <w:rsid w:val="00A571F5"/>
    <w:pPr>
      <w:spacing w:before="100" w:beforeAutospacing="1" w:after="100" w:afterAutospacing="1"/>
    </w:pPr>
  </w:style>
  <w:style w:type="character" w:customStyle="1" w:styleId="provvnumcomma">
    <w:name w:val="provv_numcomma"/>
    <w:basedOn w:val="Carpredefinitoparagrafo"/>
    <w:rsid w:val="00A571F5"/>
  </w:style>
  <w:style w:type="paragraph" w:customStyle="1" w:styleId="provvsommarioambito">
    <w:name w:val="provv_sommario_ambito"/>
    <w:basedOn w:val="Normale"/>
    <w:rsid w:val="00A571F5"/>
    <w:pPr>
      <w:spacing w:before="100" w:beforeAutospacing="1" w:after="100" w:afterAutospacing="1"/>
    </w:pPr>
  </w:style>
  <w:style w:type="paragraph" w:customStyle="1" w:styleId="provvsommarioart">
    <w:name w:val="provv_sommario_art"/>
    <w:basedOn w:val="Normale"/>
    <w:rsid w:val="00A571F5"/>
    <w:pPr>
      <w:spacing w:before="100" w:beforeAutospacing="1" w:after="100" w:afterAutospacing="1"/>
    </w:pPr>
  </w:style>
  <w:style w:type="character" w:customStyle="1" w:styleId="provvsommarionumart">
    <w:name w:val="provv_sommario_numart"/>
    <w:basedOn w:val="Carpredefinitoparagrafo"/>
    <w:rsid w:val="00A571F5"/>
  </w:style>
  <w:style w:type="character" w:customStyle="1" w:styleId="provvsommariorubrica">
    <w:name w:val="provv_sommario_rubrica"/>
    <w:basedOn w:val="Carpredefinitoparagrafo"/>
    <w:rsid w:val="00A571F5"/>
  </w:style>
  <w:style w:type="character" w:customStyle="1" w:styleId="linkneltesto">
    <w:name w:val="link_nel_testo"/>
    <w:basedOn w:val="Carpredefinitoparagrafo"/>
    <w:rsid w:val="005D7ABD"/>
  </w:style>
  <w:style w:type="paragraph" w:customStyle="1" w:styleId="sep-testo-note">
    <w:name w:val="sep-testo-note"/>
    <w:basedOn w:val="Normale"/>
    <w:rsid w:val="005D7ABD"/>
    <w:pPr>
      <w:spacing w:before="100" w:beforeAutospacing="1" w:after="100" w:afterAutospacing="1"/>
    </w:pPr>
  </w:style>
  <w:style w:type="paragraph" w:styleId="Testofumetto">
    <w:name w:val="Balloon Text"/>
    <w:basedOn w:val="Normale"/>
    <w:link w:val="TestofumettoCarattere"/>
    <w:uiPriority w:val="99"/>
    <w:semiHidden/>
    <w:unhideWhenUsed/>
    <w:rsid w:val="00C2482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482F"/>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2571">
      <w:bodyDiv w:val="1"/>
      <w:marLeft w:val="0"/>
      <w:marRight w:val="0"/>
      <w:marTop w:val="0"/>
      <w:marBottom w:val="0"/>
      <w:divBdr>
        <w:top w:val="none" w:sz="0" w:space="0" w:color="auto"/>
        <w:left w:val="none" w:sz="0" w:space="0" w:color="auto"/>
        <w:bottom w:val="none" w:sz="0" w:space="0" w:color="auto"/>
        <w:right w:val="none" w:sz="0" w:space="0" w:color="auto"/>
      </w:divBdr>
    </w:div>
    <w:div w:id="239800306">
      <w:bodyDiv w:val="1"/>
      <w:marLeft w:val="0"/>
      <w:marRight w:val="0"/>
      <w:marTop w:val="0"/>
      <w:marBottom w:val="0"/>
      <w:divBdr>
        <w:top w:val="none" w:sz="0" w:space="0" w:color="auto"/>
        <w:left w:val="none" w:sz="0" w:space="0" w:color="auto"/>
        <w:bottom w:val="none" w:sz="0" w:space="0" w:color="auto"/>
        <w:right w:val="none" w:sz="0" w:space="0" w:color="auto"/>
      </w:divBdr>
    </w:div>
    <w:div w:id="289365339">
      <w:bodyDiv w:val="1"/>
      <w:marLeft w:val="0"/>
      <w:marRight w:val="0"/>
      <w:marTop w:val="0"/>
      <w:marBottom w:val="0"/>
      <w:divBdr>
        <w:top w:val="none" w:sz="0" w:space="0" w:color="auto"/>
        <w:left w:val="none" w:sz="0" w:space="0" w:color="auto"/>
        <w:bottom w:val="none" w:sz="0" w:space="0" w:color="auto"/>
        <w:right w:val="none" w:sz="0" w:space="0" w:color="auto"/>
      </w:divBdr>
      <w:divsChild>
        <w:div w:id="513613259">
          <w:marLeft w:val="0"/>
          <w:marRight w:val="0"/>
          <w:marTop w:val="0"/>
          <w:marBottom w:val="0"/>
          <w:divBdr>
            <w:top w:val="none" w:sz="0" w:space="0" w:color="auto"/>
            <w:left w:val="none" w:sz="0" w:space="0" w:color="auto"/>
            <w:bottom w:val="none" w:sz="0" w:space="0" w:color="auto"/>
            <w:right w:val="none" w:sz="0" w:space="0" w:color="auto"/>
          </w:divBdr>
        </w:div>
        <w:div w:id="325591105">
          <w:marLeft w:val="0"/>
          <w:marRight w:val="0"/>
          <w:marTop w:val="0"/>
          <w:marBottom w:val="0"/>
          <w:divBdr>
            <w:top w:val="none" w:sz="0" w:space="0" w:color="auto"/>
            <w:left w:val="none" w:sz="0" w:space="0" w:color="auto"/>
            <w:bottom w:val="none" w:sz="0" w:space="0" w:color="auto"/>
            <w:right w:val="none" w:sz="0" w:space="0" w:color="auto"/>
          </w:divBdr>
        </w:div>
        <w:div w:id="1808283796">
          <w:marLeft w:val="0"/>
          <w:marRight w:val="0"/>
          <w:marTop w:val="0"/>
          <w:marBottom w:val="0"/>
          <w:divBdr>
            <w:top w:val="none" w:sz="0" w:space="0" w:color="auto"/>
            <w:left w:val="none" w:sz="0" w:space="0" w:color="auto"/>
            <w:bottom w:val="none" w:sz="0" w:space="0" w:color="auto"/>
            <w:right w:val="none" w:sz="0" w:space="0" w:color="auto"/>
          </w:divBdr>
        </w:div>
        <w:div w:id="423037176">
          <w:marLeft w:val="0"/>
          <w:marRight w:val="0"/>
          <w:marTop w:val="0"/>
          <w:marBottom w:val="0"/>
          <w:divBdr>
            <w:top w:val="none" w:sz="0" w:space="0" w:color="auto"/>
            <w:left w:val="none" w:sz="0" w:space="0" w:color="auto"/>
            <w:bottom w:val="none" w:sz="0" w:space="0" w:color="auto"/>
            <w:right w:val="none" w:sz="0" w:space="0" w:color="auto"/>
          </w:divBdr>
        </w:div>
        <w:div w:id="556476636">
          <w:marLeft w:val="0"/>
          <w:marRight w:val="0"/>
          <w:marTop w:val="0"/>
          <w:marBottom w:val="0"/>
          <w:divBdr>
            <w:top w:val="none" w:sz="0" w:space="0" w:color="auto"/>
            <w:left w:val="none" w:sz="0" w:space="0" w:color="auto"/>
            <w:bottom w:val="none" w:sz="0" w:space="0" w:color="auto"/>
            <w:right w:val="none" w:sz="0" w:space="0" w:color="auto"/>
          </w:divBdr>
        </w:div>
        <w:div w:id="41559733">
          <w:marLeft w:val="0"/>
          <w:marRight w:val="0"/>
          <w:marTop w:val="0"/>
          <w:marBottom w:val="0"/>
          <w:divBdr>
            <w:top w:val="none" w:sz="0" w:space="0" w:color="auto"/>
            <w:left w:val="none" w:sz="0" w:space="0" w:color="auto"/>
            <w:bottom w:val="none" w:sz="0" w:space="0" w:color="auto"/>
            <w:right w:val="none" w:sz="0" w:space="0" w:color="auto"/>
          </w:divBdr>
        </w:div>
        <w:div w:id="89469724">
          <w:marLeft w:val="0"/>
          <w:marRight w:val="0"/>
          <w:marTop w:val="0"/>
          <w:marBottom w:val="0"/>
          <w:divBdr>
            <w:top w:val="none" w:sz="0" w:space="0" w:color="auto"/>
            <w:left w:val="none" w:sz="0" w:space="0" w:color="auto"/>
            <w:bottom w:val="none" w:sz="0" w:space="0" w:color="auto"/>
            <w:right w:val="none" w:sz="0" w:space="0" w:color="auto"/>
          </w:divBdr>
        </w:div>
        <w:div w:id="1029836384">
          <w:marLeft w:val="0"/>
          <w:marRight w:val="0"/>
          <w:marTop w:val="0"/>
          <w:marBottom w:val="0"/>
          <w:divBdr>
            <w:top w:val="none" w:sz="0" w:space="0" w:color="auto"/>
            <w:left w:val="none" w:sz="0" w:space="0" w:color="auto"/>
            <w:bottom w:val="none" w:sz="0" w:space="0" w:color="auto"/>
            <w:right w:val="none" w:sz="0" w:space="0" w:color="auto"/>
          </w:divBdr>
        </w:div>
      </w:divsChild>
    </w:div>
    <w:div w:id="476412757">
      <w:bodyDiv w:val="1"/>
      <w:marLeft w:val="0"/>
      <w:marRight w:val="0"/>
      <w:marTop w:val="0"/>
      <w:marBottom w:val="0"/>
      <w:divBdr>
        <w:top w:val="none" w:sz="0" w:space="0" w:color="auto"/>
        <w:left w:val="none" w:sz="0" w:space="0" w:color="auto"/>
        <w:bottom w:val="none" w:sz="0" w:space="0" w:color="auto"/>
        <w:right w:val="none" w:sz="0" w:space="0" w:color="auto"/>
      </w:divBdr>
    </w:div>
    <w:div w:id="495076009">
      <w:bodyDiv w:val="1"/>
      <w:marLeft w:val="0"/>
      <w:marRight w:val="0"/>
      <w:marTop w:val="0"/>
      <w:marBottom w:val="0"/>
      <w:divBdr>
        <w:top w:val="none" w:sz="0" w:space="0" w:color="auto"/>
        <w:left w:val="none" w:sz="0" w:space="0" w:color="auto"/>
        <w:bottom w:val="none" w:sz="0" w:space="0" w:color="auto"/>
        <w:right w:val="none" w:sz="0" w:space="0" w:color="auto"/>
      </w:divBdr>
    </w:div>
    <w:div w:id="561870796">
      <w:bodyDiv w:val="1"/>
      <w:marLeft w:val="0"/>
      <w:marRight w:val="0"/>
      <w:marTop w:val="0"/>
      <w:marBottom w:val="0"/>
      <w:divBdr>
        <w:top w:val="none" w:sz="0" w:space="0" w:color="auto"/>
        <w:left w:val="none" w:sz="0" w:space="0" w:color="auto"/>
        <w:bottom w:val="none" w:sz="0" w:space="0" w:color="auto"/>
        <w:right w:val="none" w:sz="0" w:space="0" w:color="auto"/>
      </w:divBdr>
    </w:div>
    <w:div w:id="653920833">
      <w:bodyDiv w:val="1"/>
      <w:marLeft w:val="0"/>
      <w:marRight w:val="0"/>
      <w:marTop w:val="0"/>
      <w:marBottom w:val="0"/>
      <w:divBdr>
        <w:top w:val="none" w:sz="0" w:space="0" w:color="auto"/>
        <w:left w:val="none" w:sz="0" w:space="0" w:color="auto"/>
        <w:bottom w:val="none" w:sz="0" w:space="0" w:color="auto"/>
        <w:right w:val="none" w:sz="0" w:space="0" w:color="auto"/>
      </w:divBdr>
    </w:div>
    <w:div w:id="665284254">
      <w:bodyDiv w:val="1"/>
      <w:marLeft w:val="0"/>
      <w:marRight w:val="0"/>
      <w:marTop w:val="0"/>
      <w:marBottom w:val="0"/>
      <w:divBdr>
        <w:top w:val="none" w:sz="0" w:space="0" w:color="auto"/>
        <w:left w:val="none" w:sz="0" w:space="0" w:color="auto"/>
        <w:bottom w:val="none" w:sz="0" w:space="0" w:color="auto"/>
        <w:right w:val="none" w:sz="0" w:space="0" w:color="auto"/>
      </w:divBdr>
    </w:div>
    <w:div w:id="702245789">
      <w:bodyDiv w:val="1"/>
      <w:marLeft w:val="0"/>
      <w:marRight w:val="0"/>
      <w:marTop w:val="0"/>
      <w:marBottom w:val="0"/>
      <w:divBdr>
        <w:top w:val="none" w:sz="0" w:space="0" w:color="auto"/>
        <w:left w:val="none" w:sz="0" w:space="0" w:color="auto"/>
        <w:bottom w:val="none" w:sz="0" w:space="0" w:color="auto"/>
        <w:right w:val="none" w:sz="0" w:space="0" w:color="auto"/>
      </w:divBdr>
    </w:div>
    <w:div w:id="797067439">
      <w:bodyDiv w:val="1"/>
      <w:marLeft w:val="0"/>
      <w:marRight w:val="0"/>
      <w:marTop w:val="0"/>
      <w:marBottom w:val="0"/>
      <w:divBdr>
        <w:top w:val="none" w:sz="0" w:space="0" w:color="auto"/>
        <w:left w:val="none" w:sz="0" w:space="0" w:color="auto"/>
        <w:bottom w:val="none" w:sz="0" w:space="0" w:color="auto"/>
        <w:right w:val="none" w:sz="0" w:space="0" w:color="auto"/>
      </w:divBdr>
      <w:divsChild>
        <w:div w:id="622468546">
          <w:marLeft w:val="0"/>
          <w:marRight w:val="0"/>
          <w:marTop w:val="0"/>
          <w:marBottom w:val="0"/>
          <w:divBdr>
            <w:top w:val="none" w:sz="0" w:space="0" w:color="auto"/>
            <w:left w:val="none" w:sz="0" w:space="0" w:color="auto"/>
            <w:bottom w:val="none" w:sz="0" w:space="0" w:color="auto"/>
            <w:right w:val="none" w:sz="0" w:space="0" w:color="auto"/>
          </w:divBdr>
        </w:div>
        <w:div w:id="771437206">
          <w:marLeft w:val="0"/>
          <w:marRight w:val="0"/>
          <w:marTop w:val="0"/>
          <w:marBottom w:val="0"/>
          <w:divBdr>
            <w:top w:val="none" w:sz="0" w:space="0" w:color="auto"/>
            <w:left w:val="none" w:sz="0" w:space="0" w:color="auto"/>
            <w:bottom w:val="none" w:sz="0" w:space="0" w:color="auto"/>
            <w:right w:val="none" w:sz="0" w:space="0" w:color="auto"/>
          </w:divBdr>
        </w:div>
        <w:div w:id="963122297">
          <w:marLeft w:val="0"/>
          <w:marRight w:val="0"/>
          <w:marTop w:val="0"/>
          <w:marBottom w:val="0"/>
          <w:divBdr>
            <w:top w:val="none" w:sz="0" w:space="0" w:color="auto"/>
            <w:left w:val="none" w:sz="0" w:space="0" w:color="auto"/>
            <w:bottom w:val="none" w:sz="0" w:space="0" w:color="auto"/>
            <w:right w:val="none" w:sz="0" w:space="0" w:color="auto"/>
          </w:divBdr>
        </w:div>
        <w:div w:id="51082568">
          <w:marLeft w:val="0"/>
          <w:marRight w:val="0"/>
          <w:marTop w:val="0"/>
          <w:marBottom w:val="0"/>
          <w:divBdr>
            <w:top w:val="none" w:sz="0" w:space="0" w:color="auto"/>
            <w:left w:val="none" w:sz="0" w:space="0" w:color="auto"/>
            <w:bottom w:val="none" w:sz="0" w:space="0" w:color="auto"/>
            <w:right w:val="none" w:sz="0" w:space="0" w:color="auto"/>
          </w:divBdr>
        </w:div>
        <w:div w:id="84689422">
          <w:marLeft w:val="0"/>
          <w:marRight w:val="0"/>
          <w:marTop w:val="0"/>
          <w:marBottom w:val="0"/>
          <w:divBdr>
            <w:top w:val="none" w:sz="0" w:space="0" w:color="auto"/>
            <w:left w:val="none" w:sz="0" w:space="0" w:color="auto"/>
            <w:bottom w:val="none" w:sz="0" w:space="0" w:color="auto"/>
            <w:right w:val="none" w:sz="0" w:space="0" w:color="auto"/>
          </w:divBdr>
        </w:div>
      </w:divsChild>
    </w:div>
    <w:div w:id="919098683">
      <w:bodyDiv w:val="1"/>
      <w:marLeft w:val="0"/>
      <w:marRight w:val="0"/>
      <w:marTop w:val="0"/>
      <w:marBottom w:val="0"/>
      <w:divBdr>
        <w:top w:val="none" w:sz="0" w:space="0" w:color="auto"/>
        <w:left w:val="none" w:sz="0" w:space="0" w:color="auto"/>
        <w:bottom w:val="none" w:sz="0" w:space="0" w:color="auto"/>
        <w:right w:val="none" w:sz="0" w:space="0" w:color="auto"/>
      </w:divBdr>
    </w:div>
    <w:div w:id="951938014">
      <w:bodyDiv w:val="1"/>
      <w:marLeft w:val="0"/>
      <w:marRight w:val="0"/>
      <w:marTop w:val="0"/>
      <w:marBottom w:val="0"/>
      <w:divBdr>
        <w:top w:val="none" w:sz="0" w:space="0" w:color="auto"/>
        <w:left w:val="none" w:sz="0" w:space="0" w:color="auto"/>
        <w:bottom w:val="none" w:sz="0" w:space="0" w:color="auto"/>
        <w:right w:val="none" w:sz="0" w:space="0" w:color="auto"/>
      </w:divBdr>
    </w:div>
    <w:div w:id="1134442869">
      <w:bodyDiv w:val="1"/>
      <w:marLeft w:val="0"/>
      <w:marRight w:val="0"/>
      <w:marTop w:val="0"/>
      <w:marBottom w:val="0"/>
      <w:divBdr>
        <w:top w:val="none" w:sz="0" w:space="0" w:color="auto"/>
        <w:left w:val="none" w:sz="0" w:space="0" w:color="auto"/>
        <w:bottom w:val="none" w:sz="0" w:space="0" w:color="auto"/>
        <w:right w:val="none" w:sz="0" w:space="0" w:color="auto"/>
      </w:divBdr>
      <w:divsChild>
        <w:div w:id="1600866555">
          <w:marLeft w:val="0"/>
          <w:marRight w:val="0"/>
          <w:marTop w:val="0"/>
          <w:marBottom w:val="0"/>
          <w:divBdr>
            <w:top w:val="none" w:sz="0" w:space="0" w:color="auto"/>
            <w:left w:val="none" w:sz="0" w:space="0" w:color="auto"/>
            <w:bottom w:val="none" w:sz="0" w:space="0" w:color="auto"/>
            <w:right w:val="none" w:sz="0" w:space="0" w:color="auto"/>
          </w:divBdr>
        </w:div>
        <w:div w:id="1625652321">
          <w:marLeft w:val="0"/>
          <w:marRight w:val="0"/>
          <w:marTop w:val="0"/>
          <w:marBottom w:val="0"/>
          <w:divBdr>
            <w:top w:val="none" w:sz="0" w:space="0" w:color="auto"/>
            <w:left w:val="none" w:sz="0" w:space="0" w:color="auto"/>
            <w:bottom w:val="none" w:sz="0" w:space="0" w:color="auto"/>
            <w:right w:val="none" w:sz="0" w:space="0" w:color="auto"/>
          </w:divBdr>
        </w:div>
      </w:divsChild>
    </w:div>
    <w:div w:id="1141193573">
      <w:bodyDiv w:val="1"/>
      <w:marLeft w:val="0"/>
      <w:marRight w:val="0"/>
      <w:marTop w:val="0"/>
      <w:marBottom w:val="0"/>
      <w:divBdr>
        <w:top w:val="none" w:sz="0" w:space="0" w:color="auto"/>
        <w:left w:val="none" w:sz="0" w:space="0" w:color="auto"/>
        <w:bottom w:val="none" w:sz="0" w:space="0" w:color="auto"/>
        <w:right w:val="none" w:sz="0" w:space="0" w:color="auto"/>
      </w:divBdr>
      <w:divsChild>
        <w:div w:id="1097094285">
          <w:marLeft w:val="0"/>
          <w:marRight w:val="0"/>
          <w:marTop w:val="0"/>
          <w:marBottom w:val="0"/>
          <w:divBdr>
            <w:top w:val="none" w:sz="0" w:space="0" w:color="auto"/>
            <w:left w:val="none" w:sz="0" w:space="0" w:color="auto"/>
            <w:bottom w:val="none" w:sz="0" w:space="0" w:color="auto"/>
            <w:right w:val="none" w:sz="0" w:space="0" w:color="auto"/>
          </w:divBdr>
        </w:div>
        <w:div w:id="1262373094">
          <w:marLeft w:val="0"/>
          <w:marRight w:val="0"/>
          <w:marTop w:val="0"/>
          <w:marBottom w:val="0"/>
          <w:divBdr>
            <w:top w:val="none" w:sz="0" w:space="0" w:color="auto"/>
            <w:left w:val="none" w:sz="0" w:space="0" w:color="auto"/>
            <w:bottom w:val="none" w:sz="0" w:space="0" w:color="auto"/>
            <w:right w:val="none" w:sz="0" w:space="0" w:color="auto"/>
          </w:divBdr>
        </w:div>
        <w:div w:id="747505775">
          <w:marLeft w:val="0"/>
          <w:marRight w:val="0"/>
          <w:marTop w:val="0"/>
          <w:marBottom w:val="0"/>
          <w:divBdr>
            <w:top w:val="none" w:sz="0" w:space="0" w:color="auto"/>
            <w:left w:val="none" w:sz="0" w:space="0" w:color="auto"/>
            <w:bottom w:val="none" w:sz="0" w:space="0" w:color="auto"/>
            <w:right w:val="none" w:sz="0" w:space="0" w:color="auto"/>
          </w:divBdr>
        </w:div>
        <w:div w:id="72049256">
          <w:marLeft w:val="0"/>
          <w:marRight w:val="0"/>
          <w:marTop w:val="0"/>
          <w:marBottom w:val="0"/>
          <w:divBdr>
            <w:top w:val="none" w:sz="0" w:space="0" w:color="auto"/>
            <w:left w:val="none" w:sz="0" w:space="0" w:color="auto"/>
            <w:bottom w:val="none" w:sz="0" w:space="0" w:color="auto"/>
            <w:right w:val="none" w:sz="0" w:space="0" w:color="auto"/>
          </w:divBdr>
        </w:div>
      </w:divsChild>
    </w:div>
    <w:div w:id="1190487190">
      <w:bodyDiv w:val="1"/>
      <w:marLeft w:val="0"/>
      <w:marRight w:val="0"/>
      <w:marTop w:val="0"/>
      <w:marBottom w:val="0"/>
      <w:divBdr>
        <w:top w:val="none" w:sz="0" w:space="0" w:color="auto"/>
        <w:left w:val="none" w:sz="0" w:space="0" w:color="auto"/>
        <w:bottom w:val="none" w:sz="0" w:space="0" w:color="auto"/>
        <w:right w:val="none" w:sz="0" w:space="0" w:color="auto"/>
      </w:divBdr>
    </w:div>
    <w:div w:id="1251966430">
      <w:bodyDiv w:val="1"/>
      <w:marLeft w:val="0"/>
      <w:marRight w:val="0"/>
      <w:marTop w:val="0"/>
      <w:marBottom w:val="0"/>
      <w:divBdr>
        <w:top w:val="none" w:sz="0" w:space="0" w:color="auto"/>
        <w:left w:val="none" w:sz="0" w:space="0" w:color="auto"/>
        <w:bottom w:val="none" w:sz="0" w:space="0" w:color="auto"/>
        <w:right w:val="none" w:sz="0" w:space="0" w:color="auto"/>
      </w:divBdr>
    </w:div>
    <w:div w:id="1404983951">
      <w:bodyDiv w:val="1"/>
      <w:marLeft w:val="0"/>
      <w:marRight w:val="0"/>
      <w:marTop w:val="0"/>
      <w:marBottom w:val="0"/>
      <w:divBdr>
        <w:top w:val="none" w:sz="0" w:space="0" w:color="auto"/>
        <w:left w:val="none" w:sz="0" w:space="0" w:color="auto"/>
        <w:bottom w:val="none" w:sz="0" w:space="0" w:color="auto"/>
        <w:right w:val="none" w:sz="0" w:space="0" w:color="auto"/>
      </w:divBdr>
    </w:div>
    <w:div w:id="1414934810">
      <w:bodyDiv w:val="1"/>
      <w:marLeft w:val="0"/>
      <w:marRight w:val="0"/>
      <w:marTop w:val="0"/>
      <w:marBottom w:val="0"/>
      <w:divBdr>
        <w:top w:val="none" w:sz="0" w:space="0" w:color="auto"/>
        <w:left w:val="none" w:sz="0" w:space="0" w:color="auto"/>
        <w:bottom w:val="none" w:sz="0" w:space="0" w:color="auto"/>
        <w:right w:val="none" w:sz="0" w:space="0" w:color="auto"/>
      </w:divBdr>
    </w:div>
    <w:div w:id="1509637100">
      <w:bodyDiv w:val="1"/>
      <w:marLeft w:val="0"/>
      <w:marRight w:val="0"/>
      <w:marTop w:val="0"/>
      <w:marBottom w:val="0"/>
      <w:divBdr>
        <w:top w:val="none" w:sz="0" w:space="0" w:color="auto"/>
        <w:left w:val="none" w:sz="0" w:space="0" w:color="auto"/>
        <w:bottom w:val="none" w:sz="0" w:space="0" w:color="auto"/>
        <w:right w:val="none" w:sz="0" w:space="0" w:color="auto"/>
      </w:divBdr>
    </w:div>
    <w:div w:id="1537162903">
      <w:bodyDiv w:val="1"/>
      <w:marLeft w:val="0"/>
      <w:marRight w:val="0"/>
      <w:marTop w:val="0"/>
      <w:marBottom w:val="0"/>
      <w:divBdr>
        <w:top w:val="none" w:sz="0" w:space="0" w:color="auto"/>
        <w:left w:val="none" w:sz="0" w:space="0" w:color="auto"/>
        <w:bottom w:val="none" w:sz="0" w:space="0" w:color="auto"/>
        <w:right w:val="none" w:sz="0" w:space="0" w:color="auto"/>
      </w:divBdr>
    </w:div>
    <w:div w:id="1544096321">
      <w:bodyDiv w:val="1"/>
      <w:marLeft w:val="0"/>
      <w:marRight w:val="0"/>
      <w:marTop w:val="0"/>
      <w:marBottom w:val="0"/>
      <w:divBdr>
        <w:top w:val="none" w:sz="0" w:space="0" w:color="auto"/>
        <w:left w:val="none" w:sz="0" w:space="0" w:color="auto"/>
        <w:bottom w:val="none" w:sz="0" w:space="0" w:color="auto"/>
        <w:right w:val="none" w:sz="0" w:space="0" w:color="auto"/>
      </w:divBdr>
      <w:divsChild>
        <w:div w:id="1545605882">
          <w:marLeft w:val="0"/>
          <w:marRight w:val="0"/>
          <w:marTop w:val="0"/>
          <w:marBottom w:val="0"/>
          <w:divBdr>
            <w:top w:val="none" w:sz="0" w:space="0" w:color="auto"/>
            <w:left w:val="none" w:sz="0" w:space="0" w:color="auto"/>
            <w:bottom w:val="none" w:sz="0" w:space="0" w:color="auto"/>
            <w:right w:val="none" w:sz="0" w:space="0" w:color="auto"/>
          </w:divBdr>
        </w:div>
        <w:div w:id="306589287">
          <w:marLeft w:val="0"/>
          <w:marRight w:val="0"/>
          <w:marTop w:val="0"/>
          <w:marBottom w:val="0"/>
          <w:divBdr>
            <w:top w:val="none" w:sz="0" w:space="0" w:color="auto"/>
            <w:left w:val="none" w:sz="0" w:space="0" w:color="auto"/>
            <w:bottom w:val="none" w:sz="0" w:space="0" w:color="auto"/>
            <w:right w:val="none" w:sz="0" w:space="0" w:color="auto"/>
          </w:divBdr>
        </w:div>
        <w:div w:id="983119859">
          <w:marLeft w:val="0"/>
          <w:marRight w:val="0"/>
          <w:marTop w:val="0"/>
          <w:marBottom w:val="0"/>
          <w:divBdr>
            <w:top w:val="none" w:sz="0" w:space="0" w:color="auto"/>
            <w:left w:val="none" w:sz="0" w:space="0" w:color="auto"/>
            <w:bottom w:val="none" w:sz="0" w:space="0" w:color="auto"/>
            <w:right w:val="none" w:sz="0" w:space="0" w:color="auto"/>
          </w:divBdr>
        </w:div>
        <w:div w:id="143746289">
          <w:marLeft w:val="0"/>
          <w:marRight w:val="0"/>
          <w:marTop w:val="0"/>
          <w:marBottom w:val="0"/>
          <w:divBdr>
            <w:top w:val="none" w:sz="0" w:space="0" w:color="auto"/>
            <w:left w:val="none" w:sz="0" w:space="0" w:color="auto"/>
            <w:bottom w:val="none" w:sz="0" w:space="0" w:color="auto"/>
            <w:right w:val="none" w:sz="0" w:space="0" w:color="auto"/>
          </w:divBdr>
        </w:div>
        <w:div w:id="355817183">
          <w:marLeft w:val="0"/>
          <w:marRight w:val="0"/>
          <w:marTop w:val="0"/>
          <w:marBottom w:val="0"/>
          <w:divBdr>
            <w:top w:val="none" w:sz="0" w:space="0" w:color="auto"/>
            <w:left w:val="none" w:sz="0" w:space="0" w:color="auto"/>
            <w:bottom w:val="none" w:sz="0" w:space="0" w:color="auto"/>
            <w:right w:val="none" w:sz="0" w:space="0" w:color="auto"/>
          </w:divBdr>
        </w:div>
      </w:divsChild>
    </w:div>
    <w:div w:id="1651716700">
      <w:bodyDiv w:val="1"/>
      <w:marLeft w:val="0"/>
      <w:marRight w:val="0"/>
      <w:marTop w:val="0"/>
      <w:marBottom w:val="0"/>
      <w:divBdr>
        <w:top w:val="none" w:sz="0" w:space="0" w:color="auto"/>
        <w:left w:val="none" w:sz="0" w:space="0" w:color="auto"/>
        <w:bottom w:val="none" w:sz="0" w:space="0" w:color="auto"/>
        <w:right w:val="none" w:sz="0" w:space="0" w:color="auto"/>
      </w:divBdr>
    </w:div>
    <w:div w:id="1701739509">
      <w:bodyDiv w:val="1"/>
      <w:marLeft w:val="0"/>
      <w:marRight w:val="0"/>
      <w:marTop w:val="0"/>
      <w:marBottom w:val="0"/>
      <w:divBdr>
        <w:top w:val="none" w:sz="0" w:space="0" w:color="auto"/>
        <w:left w:val="none" w:sz="0" w:space="0" w:color="auto"/>
        <w:bottom w:val="none" w:sz="0" w:space="0" w:color="auto"/>
        <w:right w:val="none" w:sz="0" w:space="0" w:color="auto"/>
      </w:divBdr>
    </w:div>
    <w:div w:id="1841039378">
      <w:bodyDiv w:val="1"/>
      <w:marLeft w:val="0"/>
      <w:marRight w:val="0"/>
      <w:marTop w:val="0"/>
      <w:marBottom w:val="0"/>
      <w:divBdr>
        <w:top w:val="none" w:sz="0" w:space="0" w:color="auto"/>
        <w:left w:val="none" w:sz="0" w:space="0" w:color="auto"/>
        <w:bottom w:val="none" w:sz="0" w:space="0" w:color="auto"/>
        <w:right w:val="none" w:sz="0" w:space="0" w:color="auto"/>
      </w:divBdr>
    </w:div>
    <w:div w:id="1856335811">
      <w:bodyDiv w:val="1"/>
      <w:marLeft w:val="0"/>
      <w:marRight w:val="0"/>
      <w:marTop w:val="0"/>
      <w:marBottom w:val="0"/>
      <w:divBdr>
        <w:top w:val="none" w:sz="0" w:space="0" w:color="auto"/>
        <w:left w:val="none" w:sz="0" w:space="0" w:color="auto"/>
        <w:bottom w:val="none" w:sz="0" w:space="0" w:color="auto"/>
        <w:right w:val="none" w:sz="0" w:space="0" w:color="auto"/>
      </w:divBdr>
    </w:div>
    <w:div w:id="1961255329">
      <w:bodyDiv w:val="1"/>
      <w:marLeft w:val="0"/>
      <w:marRight w:val="0"/>
      <w:marTop w:val="0"/>
      <w:marBottom w:val="0"/>
      <w:divBdr>
        <w:top w:val="none" w:sz="0" w:space="0" w:color="auto"/>
        <w:left w:val="none" w:sz="0" w:space="0" w:color="auto"/>
        <w:bottom w:val="none" w:sz="0" w:space="0" w:color="auto"/>
        <w:right w:val="none" w:sz="0" w:space="0" w:color="auto"/>
      </w:divBdr>
    </w:div>
    <w:div w:id="1997106828">
      <w:bodyDiv w:val="1"/>
      <w:marLeft w:val="0"/>
      <w:marRight w:val="0"/>
      <w:marTop w:val="0"/>
      <w:marBottom w:val="0"/>
      <w:divBdr>
        <w:top w:val="none" w:sz="0" w:space="0" w:color="auto"/>
        <w:left w:val="none" w:sz="0" w:space="0" w:color="auto"/>
        <w:bottom w:val="none" w:sz="0" w:space="0" w:color="auto"/>
        <w:right w:val="none" w:sz="0" w:space="0" w:color="auto"/>
      </w:divBdr>
    </w:div>
    <w:div w:id="2000765781">
      <w:bodyDiv w:val="1"/>
      <w:marLeft w:val="0"/>
      <w:marRight w:val="0"/>
      <w:marTop w:val="0"/>
      <w:marBottom w:val="0"/>
      <w:divBdr>
        <w:top w:val="none" w:sz="0" w:space="0" w:color="auto"/>
        <w:left w:val="none" w:sz="0" w:space="0" w:color="auto"/>
        <w:bottom w:val="none" w:sz="0" w:space="0" w:color="auto"/>
        <w:right w:val="none" w:sz="0" w:space="0" w:color="auto"/>
      </w:divBdr>
    </w:div>
    <w:div w:id="206097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bd',%7bmask:'main',opera:'61',id:'61LX0000807506',key:'61LX0000807506',%20callerTicket:%20'',%20userKey:%20'',_menu:'normativa',kind:''%7d)" TargetMode="External"/><Relationship Id="rId13" Type="http://schemas.openxmlformats.org/officeDocument/2006/relationships/hyperlink" Target="javascript:kernel.go('bd',%7bmask:'main',opera:'61',id:'61LX0000109957ART4',key:'61LX0000109957ART4',%20callerTicket:%20'',%20userKey:%20'',_menu:'normativa',kind:''%7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kernel.go('bd',%7bmask:'main',opera:'61',id:'61LX0000807506ART13',key:'61LX0000807506ART13',%20callerTicket:%20'',%20userKey:%20'',_menu:'normativa',kind:''%7d)" TargetMode="External"/><Relationship Id="rId12" Type="http://schemas.openxmlformats.org/officeDocument/2006/relationships/hyperlink" Target="javascript:kernel.go('bd',%7bmask:'main',opera:'05',id:'05AC00002067',key:'05AC00002067',%20callerTicket:%20'',%20userKey:%20'',_menu:'normativa',kind:''%7d)" TargetMode="External"/><Relationship Id="rId17" Type="http://schemas.openxmlformats.org/officeDocument/2006/relationships/hyperlink" Target="javascript:kernel.go('bd',%7bmask:'main',opera:'61',id:'61LX0000114205',key:'61LX0000114205',%20callerTicket:%20'',%20userKey:%20'',_menu:'normativa',kind:''%7d)" TargetMode="External"/><Relationship Id="rId2" Type="http://schemas.openxmlformats.org/officeDocument/2006/relationships/styles" Target="styles.xml"/><Relationship Id="rId16" Type="http://schemas.openxmlformats.org/officeDocument/2006/relationships/hyperlink" Target="javascript:kernel.go('bd',%7bmask:'main',opera:'61',id:'61LX0000114205ART6',key:'61LX0000114205ART6',%20callerTicket:%20'',%20userKey:%20'',_menu:'normativa',kind:''%7d)" TargetMode="External"/><Relationship Id="rId1" Type="http://schemas.openxmlformats.org/officeDocument/2006/relationships/numbering" Target="numbering.xml"/><Relationship Id="rId6" Type="http://schemas.openxmlformats.org/officeDocument/2006/relationships/hyperlink" Target="javascript:kernel.go('bd',%7bmask:'main',opera:'07',id:'07LX0000193840',key:'07LX0000193840',%20callerTicket:%20'',%20userKey:%20'',_menu:'normativa',kind:''%7d)" TargetMode="External"/><Relationship Id="rId11" Type="http://schemas.openxmlformats.org/officeDocument/2006/relationships/hyperlink" Target="javascript:kernel.go('bd',%7bmask:'main',opera:'05',id:'05AC00004972',key:'05AC00004972',%20callerTicket:%20'',%20userKey:%20'',_menu:'normativa',kind:''%7d)" TargetMode="External"/><Relationship Id="rId5" Type="http://schemas.openxmlformats.org/officeDocument/2006/relationships/webSettings" Target="webSettings.xml"/><Relationship Id="rId15" Type="http://schemas.openxmlformats.org/officeDocument/2006/relationships/hyperlink" Target="javascript:kernel.go('bd',%7bmask:'main',opera:'61',id:'61LX0000109957',key:'61LX0000109957',%20callerTicket:%20'',%20userKey:%20'',_menu:'normativa',kind:''%7d)" TargetMode="External"/><Relationship Id="rId10" Type="http://schemas.openxmlformats.org/officeDocument/2006/relationships/hyperlink" Target="javascript:kernel.go('bd',%7bmask:'main',opera:'61',id:'61LX0000157897ART36018472',key:'61LX0000157897ART36018472',%20callerTicket:%20'',%20userKey:%20'',_menu:'normativa',kind:''%7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kernel.go('bd',%7bmask:'main',opera:'61',id:'61LX0000157897ART63',key:'61LX0000157897ART63',%20callerTicket:%20'',%20userKey:%20'',_menu:'normativa',kind:''%7d)" TargetMode="External"/><Relationship Id="rId14" Type="http://schemas.openxmlformats.org/officeDocument/2006/relationships/hyperlink" Target="javascript:kernel.go('bd',%7bmask:'main',opera:'61',id:'61LX0000109957ART24',key:'61LX0000109957ART24',%20callerTicket:%20'',%20userKey:%20'',_menu:'normativa',kind:''%7d)"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Pages>
  <Words>2632</Words>
  <Characters>15006</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dc:creator>
  <cp:lastModifiedBy>ele</cp:lastModifiedBy>
  <cp:revision>41</cp:revision>
  <dcterms:created xsi:type="dcterms:W3CDTF">2017-04-24T09:45:00Z</dcterms:created>
  <dcterms:modified xsi:type="dcterms:W3CDTF">2017-04-24T16:45:00Z</dcterms:modified>
</cp:coreProperties>
</file>