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34" w:rsidRPr="00657D58" w:rsidRDefault="00657D58" w:rsidP="00657D58">
      <w:pPr>
        <w:jc w:val="both"/>
        <w:rPr>
          <w:sz w:val="24"/>
          <w:szCs w:val="24"/>
          <w:u w:val="single"/>
        </w:rPr>
      </w:pPr>
      <w:bookmarkStart w:id="0" w:name="_GoBack"/>
      <w:bookmarkEnd w:id="0"/>
      <w:r w:rsidRPr="00657D58">
        <w:rPr>
          <w:b/>
          <w:sz w:val="24"/>
          <w:szCs w:val="24"/>
          <w:u w:val="single"/>
          <w:lang w:val="en-US"/>
        </w:rPr>
        <w:t xml:space="preserve">Art. 34, D.L. n. 179 conv. </w:t>
      </w:r>
      <w:r w:rsidRPr="00657D58">
        <w:rPr>
          <w:b/>
          <w:sz w:val="24"/>
          <w:szCs w:val="24"/>
          <w:u w:val="single"/>
        </w:rPr>
        <w:t>Dalla l. n. 221/2012</w:t>
      </w:r>
      <w:r w:rsidRPr="00657D58">
        <w:rPr>
          <w:sz w:val="24"/>
          <w:szCs w:val="24"/>
          <w:u w:val="single"/>
        </w:rPr>
        <w:t xml:space="preserve"> - Misure urgenti per le attività produttive, le infrastrutture e i trasporti, i servizi pubblici locali, la valorizzazione dei beni culturali ed i comuni</w:t>
      </w:r>
    </w:p>
    <w:p w:rsid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20. Per i servizi pubblici locali di rilevanza economica, al fine di assicurare il rispetto della disciplina europea, la parità tra gli operatori, l'economicità della gestione e di garantire adeguata informazione alla collettività di riferimento, l'affidamento del servizio è effettuato sulla base di apposita relazione, pubblicata sul sito internet dell'ente affidante, che dà conto delle ragioni e della sussistenza dei requisiti previsti dall'ordinamento europeo per la forma di affidamento prescelta e che definisce i contenuti specifici degli obblighi di servizio pubblico e servizio universale, indicando le compensazioni economiche se previste.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21. Gli affidamenti in essere alla data di entrata in vigore del presente decreto non conformi ai requisiti previsti dalla normativa europea devono essere adeguati entro il termine del 31 dicembre 2013 pubblicando, entro la stessa data, la relazione prevista al comma 20. Per gli affidamenti in cui non è prevista una data di scadenza gli enti competenti provvedono contestualmente ad inserire nel contratto di servizio o negli altri atti che regolano il rapporto un termine di scadenza dell'affidamento. Il mancato adempimento degli obblighi previsti nel presente comma determina la cessazione dell'affidamento alla data del 31 dicembre 2013.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22. Gli affidamenti diretti assentiti alla data del 1° ottobre 2003 a società a partecipazione pubblica già quotate in borsa a tale data, e a quelle da esse controllate ai sensi dell'articolo 2359 del codice civile, cessano alla scadenza prevista nel contratto di servizio o negli altri atti che regolano il rapporto; gli affidamenti che non prevedono una data di scadenza cessano, improrogabilmente e senza necessità di apposita deliberazione dell'ente affidante, il 31 dicembre 2020.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23. Dopo il comma 1 dell'articolo 3-bis del decreto-legge 13 agosto 2011, n. 138, convertito, con modificazioni, dalla legge 14 settembre 2011, n. 148, e successive modificazioni, è inserito il seguente: «1-bis. Le funzioni di organizzazione dei servizi pubblici locali a rete di rilevanza economica, compresi quelli appartenenti al settore dei rifiuti urbani, di scelta della forma di gestione, di determinazione delle tariffe all'utenza per quanto di competenza, di affidamento della gestione e relativo controllo sono esercitate unicamente dagli enti di governo degli ambiti o bacini territoriali ottimali e omogenei istituiti o designati ai sensi del comma 1 del presente articolo».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24. All'articolo 53, comma 1, del decreto-legge 22 giugno 2012, n. 83, convertito, con modificazioni, dalla legge 7 agosto 2012, n. 134, la lettera b) è abrogata.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lastRenderedPageBreak/>
        <w:t>25. I commi da 20 a 22 non si applicano al servizio di distribuzione di gas naturale, di cui al decreto legislativo 23 maggio 2000, n. 164, al servizio di distribuzione di energia elettrica, di cui al decreto legislativo 16 marzo 1999, n. 79, e alla legge 23 agosto 2004, n. 239, nonché alla gestione delle farmacie comunali, di cui alla legge 2 aprile 1968, n. 475. Restano inoltre ferme le disposizioni di cui all'articolo 37 del decreto-legge 22 giugno 2012, n. 83, convertito, con modificazioni, dalla legge 7 agosto 2012, n. 134.</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26. Al fine di aumentare la concorrenza nell'ambito delle procedure di affidamento in concessione del servizio di illuminazione votiva, all'articolo unico del decreto del Ministro dell'interno 31 dicembre 1983, pubblicato nella Gazzetta Ufficiale n. 16 del 17 gennaio 1984, al numero 18) sono soppresse le seguenti parole: «e illuminazioni votive». Conseguentemente i comuni, per l'affidamento del servizio di illuminazione votiva, applicano le disposizioni di cui al decreto legislativo n. 163 del 2006, e in particolare l'articolo 30 e, qualora ne ricorrano le condizioni, l'articolo 125.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27. All'articolo 4, comma 8, del decreto-legge 6 luglio 2012, n. 95, convertito con modificazioni, dalla legge 7 agosto 2012, n. 135, le parole: «e a condizione che il valore economico del servizio o dei beni oggetto dell'affidamento sia complessivamente pari o inferiore a 200.000 euro annui» sono soppresse.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28. All'articolo 1 del decreto legislativo 11 febbraio 2010, n. 22, dopo il comma 3-bis, è inserito il seguente: «3-bis.1. Agli impianti pilota di cui al comma 3-bis, che per il migliore sfruttamento ai fini sperimentali del fluido geotermico necessitano di una maggiore potenza nominale installata al fine di mantenere il fluido geotermico allo stato liquido, il limite di 5 MW è determinato in funzione dell'energia immessa nel sistema elettrico».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29. All'articolo 154 del decreto legislativo 3 aprile 2006, n. 152, il comma 4 è sostituito dal seguente: «4. Il soggetto competente, al fine della redazione del piano economico- finanziario di cui all'articolo 149, comma 1, lettera d), predispone la tariffa di base, nell'osservanza del metodo tariffario di cui all'articolo 10, comma 14, lettera d), del decreto-legge 13 maggio 2011, n. 70, convertito, con modificazioni, dalla legge 12 luglio 2011, n. 106, e la trasmette per l'approvazione all'Autorità per l'energia elettrica e il gas». </w:t>
      </w:r>
    </w:p>
    <w:p w:rsidR="00657D58" w:rsidRPr="00657D58" w:rsidRDefault="00657D58" w:rsidP="00657D58">
      <w:pPr>
        <w:jc w:val="both"/>
        <w:rPr>
          <w:sz w:val="24"/>
          <w:szCs w:val="24"/>
        </w:rPr>
      </w:pPr>
    </w:p>
    <w:p w:rsidR="00657D58" w:rsidRPr="00657D58" w:rsidRDefault="00657D58" w:rsidP="00657D58">
      <w:pPr>
        <w:jc w:val="both"/>
        <w:rPr>
          <w:sz w:val="24"/>
          <w:szCs w:val="24"/>
        </w:rPr>
      </w:pPr>
      <w:r w:rsidRPr="00657D58">
        <w:rPr>
          <w:sz w:val="24"/>
          <w:szCs w:val="24"/>
        </w:rPr>
        <w:t xml:space="preserve">30. All'articolo 2, comma 4, del decreto-legge 25 gennaio 2012, n. 2, convertito, con modificazioni, dalla legge 24 marzo 2012, n. 28, le parole: «A decorrere dal 31 dicembre 2013,» sono sostituite </w:t>
      </w:r>
      <w:r w:rsidRPr="00657D58">
        <w:rPr>
          <w:sz w:val="24"/>
          <w:szCs w:val="24"/>
        </w:rPr>
        <w:lastRenderedPageBreak/>
        <w:t>dalle seguenti: «A decorrere dal sessantesimo giorno dall'emanazione dei decreti di natura non regolamentare di cui al comma 2».</w:t>
      </w:r>
    </w:p>
    <w:sectPr w:rsidR="00657D58" w:rsidRPr="00657D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39"/>
    <w:rsid w:val="004B3839"/>
    <w:rsid w:val="00657D58"/>
    <w:rsid w:val="00C46E72"/>
    <w:rsid w:val="00D9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Maltoni</cp:lastModifiedBy>
  <cp:revision>2</cp:revision>
  <dcterms:created xsi:type="dcterms:W3CDTF">2018-01-04T09:31:00Z</dcterms:created>
  <dcterms:modified xsi:type="dcterms:W3CDTF">2018-01-04T09:31:00Z</dcterms:modified>
</cp:coreProperties>
</file>