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51" w:rsidRPr="00D96251" w:rsidRDefault="00D96251" w:rsidP="00D96251">
      <w:pPr>
        <w:shd w:val="clear" w:color="auto" w:fill="FFFFFF"/>
        <w:jc w:val="center"/>
        <w:textAlignment w:val="top"/>
        <w:rPr>
          <w:rFonts w:ascii="Garamond" w:hAnsi="Garamond"/>
          <w:b/>
          <w:sz w:val="36"/>
          <w:szCs w:val="36"/>
        </w:rPr>
      </w:pPr>
      <w:r w:rsidRPr="00D96251">
        <w:rPr>
          <w:rFonts w:ascii="Garamond" w:hAnsi="Garamond"/>
          <w:b/>
          <w:sz w:val="36"/>
          <w:szCs w:val="36"/>
        </w:rPr>
        <w:t>Paolo Lago</w:t>
      </w:r>
    </w:p>
    <w:p w:rsidR="00D96251" w:rsidRPr="00D96251" w:rsidRDefault="00D96251" w:rsidP="00D96251">
      <w:pPr>
        <w:shd w:val="clear" w:color="auto" w:fill="FFFFFF"/>
        <w:jc w:val="center"/>
        <w:textAlignment w:val="top"/>
        <w:rPr>
          <w:rFonts w:ascii="Garamond" w:hAnsi="Garamond"/>
          <w:b/>
          <w:sz w:val="36"/>
          <w:szCs w:val="36"/>
        </w:rPr>
      </w:pPr>
    </w:p>
    <w:p w:rsidR="00D96251" w:rsidRPr="00D96251" w:rsidRDefault="00D96251" w:rsidP="00D96251">
      <w:pPr>
        <w:shd w:val="clear" w:color="auto" w:fill="FFFFFF"/>
        <w:jc w:val="center"/>
        <w:textAlignment w:val="top"/>
        <w:rPr>
          <w:rFonts w:ascii="Garamond" w:hAnsi="Garamond"/>
          <w:b/>
          <w:sz w:val="36"/>
          <w:szCs w:val="36"/>
        </w:rPr>
      </w:pPr>
    </w:p>
    <w:p w:rsidR="00D96251" w:rsidRPr="00FA1600" w:rsidRDefault="00D96251" w:rsidP="00D96251">
      <w:pPr>
        <w:shd w:val="clear" w:color="auto" w:fill="FFFFFF"/>
        <w:jc w:val="center"/>
        <w:textAlignment w:val="top"/>
        <w:rPr>
          <w:rFonts w:ascii="Garamond" w:hAnsi="Garamond"/>
          <w:b/>
          <w:color w:val="222222"/>
          <w:sz w:val="36"/>
          <w:szCs w:val="36"/>
          <w:shd w:val="clear" w:color="auto" w:fill="FFFFFF"/>
        </w:rPr>
      </w:pPr>
      <w:r w:rsidRPr="00FA1600">
        <w:rPr>
          <w:rFonts w:ascii="Garamond" w:hAnsi="Garamond"/>
          <w:b/>
          <w:i/>
          <w:color w:val="222222"/>
          <w:sz w:val="36"/>
          <w:szCs w:val="36"/>
          <w:shd w:val="clear" w:color="auto" w:fill="FFFFFF"/>
        </w:rPr>
        <w:t>I classici in viaggio. Riletture contemporanee di Petronio e di Apuleio</w:t>
      </w:r>
    </w:p>
    <w:p w:rsidR="00D96251" w:rsidRDefault="00D96251" w:rsidP="00D96251">
      <w:pPr>
        <w:shd w:val="clear" w:color="auto" w:fill="FFFFFF"/>
        <w:jc w:val="center"/>
        <w:textAlignment w:val="top"/>
        <w:rPr>
          <w:b/>
        </w:rPr>
      </w:pPr>
    </w:p>
    <w:p w:rsidR="00D96251" w:rsidRDefault="00D96251" w:rsidP="00D96251">
      <w:pPr>
        <w:shd w:val="clear" w:color="auto" w:fill="FFFFFF"/>
        <w:textAlignment w:val="top"/>
        <w:rPr>
          <w:b/>
        </w:rPr>
      </w:pPr>
    </w:p>
    <w:p w:rsidR="00D96251" w:rsidRDefault="00D96251" w:rsidP="00D96251">
      <w:pPr>
        <w:shd w:val="clear" w:color="auto" w:fill="FFFFFF"/>
        <w:textAlignment w:val="top"/>
        <w:rPr>
          <w:b/>
        </w:rPr>
      </w:pPr>
    </w:p>
    <w:p w:rsidR="00D96251" w:rsidRDefault="00D96251" w:rsidP="00D96251">
      <w:pPr>
        <w:shd w:val="clear" w:color="auto" w:fill="FFFFFF"/>
        <w:textAlignment w:val="top"/>
        <w:rPr>
          <w:b/>
        </w:rPr>
      </w:pPr>
    </w:p>
    <w:p w:rsidR="00D96251" w:rsidRDefault="00D96251" w:rsidP="0018287F">
      <w:pPr>
        <w:shd w:val="clear" w:color="auto" w:fill="FFFFFF"/>
        <w:jc w:val="center"/>
        <w:textAlignment w:val="top"/>
        <w:rPr>
          <w:b/>
        </w:rPr>
      </w:pPr>
    </w:p>
    <w:p w:rsidR="00D96251" w:rsidRDefault="00D96251" w:rsidP="0018287F">
      <w:pPr>
        <w:shd w:val="clear" w:color="auto" w:fill="FFFFFF"/>
        <w:jc w:val="center"/>
        <w:textAlignment w:val="top"/>
        <w:rPr>
          <w:b/>
        </w:rPr>
      </w:pPr>
    </w:p>
    <w:p w:rsidR="00D96251" w:rsidRDefault="00D96251" w:rsidP="0018287F">
      <w:pPr>
        <w:shd w:val="clear" w:color="auto" w:fill="FFFFFF"/>
        <w:jc w:val="center"/>
        <w:textAlignment w:val="top"/>
        <w:rPr>
          <w:b/>
        </w:rPr>
      </w:pPr>
    </w:p>
    <w:p w:rsidR="00D96251" w:rsidRDefault="0018287F" w:rsidP="0018287F">
      <w:pPr>
        <w:shd w:val="clear" w:color="auto" w:fill="FFFFFF"/>
        <w:jc w:val="center"/>
        <w:textAlignment w:val="top"/>
        <w:rPr>
          <w:b/>
        </w:rPr>
      </w:pPr>
      <w:r>
        <w:rPr>
          <w:noProof/>
        </w:rPr>
        <w:drawing>
          <wp:inline distT="0" distB="0" distL="0" distR="0" wp14:anchorId="386AAA18" wp14:editId="083CFDF7">
            <wp:extent cx="4762500" cy="2724150"/>
            <wp:effectExtent l="0" t="0" r="0" b="0"/>
            <wp:docPr id="2" name="Immagine 2" descr="Risultati immagini per petronio massimo verdastro teatro del vas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etronio massimo verdastro teatro del vasc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51" w:rsidRDefault="00D96251" w:rsidP="00D96251">
      <w:pPr>
        <w:shd w:val="clear" w:color="auto" w:fill="FFFFFF"/>
        <w:textAlignment w:val="top"/>
        <w:rPr>
          <w:b/>
        </w:rPr>
      </w:pPr>
    </w:p>
    <w:p w:rsidR="00D96251" w:rsidRDefault="00D96251" w:rsidP="00D96251">
      <w:pPr>
        <w:shd w:val="clear" w:color="auto" w:fill="FFFFFF"/>
        <w:textAlignment w:val="top"/>
        <w:rPr>
          <w:b/>
        </w:rPr>
      </w:pPr>
    </w:p>
    <w:p w:rsidR="00D96251" w:rsidRDefault="00D96251" w:rsidP="00D96251">
      <w:pPr>
        <w:shd w:val="clear" w:color="auto" w:fill="FFFFFF"/>
        <w:textAlignment w:val="top"/>
        <w:rPr>
          <w:b/>
        </w:rPr>
      </w:pPr>
    </w:p>
    <w:p w:rsidR="00D96251" w:rsidRPr="007275FB" w:rsidRDefault="0018287F" w:rsidP="007275FB">
      <w:pPr>
        <w:shd w:val="clear" w:color="auto" w:fill="FFFFFF"/>
        <w:jc w:val="center"/>
        <w:textAlignment w:val="top"/>
        <w:rPr>
          <w:rFonts w:ascii="Garamond" w:hAnsi="Garamond"/>
          <w:color w:val="222222"/>
          <w:sz w:val="28"/>
          <w:szCs w:val="28"/>
        </w:rPr>
      </w:pPr>
      <w:r w:rsidRPr="007275FB">
        <w:rPr>
          <w:rFonts w:ascii="Garamond" w:hAnsi="Garamond"/>
          <w:color w:val="222222"/>
          <w:sz w:val="28"/>
          <w:szCs w:val="28"/>
        </w:rPr>
        <w:t>Ferrara, g</w:t>
      </w:r>
      <w:r w:rsidR="00D96251" w:rsidRPr="007275FB">
        <w:rPr>
          <w:rFonts w:ascii="Garamond" w:hAnsi="Garamond"/>
          <w:color w:val="222222"/>
          <w:sz w:val="28"/>
          <w:szCs w:val="28"/>
        </w:rPr>
        <w:t>iovedì 14</w:t>
      </w:r>
      <w:r w:rsidRPr="007275FB">
        <w:rPr>
          <w:rFonts w:ascii="Garamond" w:hAnsi="Garamond"/>
          <w:color w:val="222222"/>
          <w:sz w:val="28"/>
          <w:szCs w:val="28"/>
        </w:rPr>
        <w:t xml:space="preserve"> novembre 2019</w:t>
      </w:r>
      <w:r w:rsidR="00DD0F6C">
        <w:rPr>
          <w:rFonts w:ascii="Garamond" w:hAnsi="Garamond"/>
          <w:color w:val="222222"/>
          <w:sz w:val="28"/>
          <w:szCs w:val="28"/>
        </w:rPr>
        <w:t xml:space="preserve">, Sala Agnelli, </w:t>
      </w:r>
      <w:bookmarkStart w:id="0" w:name="_GoBack"/>
      <w:bookmarkEnd w:id="0"/>
      <w:r w:rsidR="00D96251" w:rsidRPr="007275FB">
        <w:rPr>
          <w:rFonts w:ascii="Garamond" w:hAnsi="Garamond"/>
          <w:color w:val="222222"/>
          <w:sz w:val="28"/>
          <w:szCs w:val="28"/>
        </w:rPr>
        <w:t>h. 17.00</w:t>
      </w:r>
    </w:p>
    <w:p w:rsidR="00D96251" w:rsidRPr="007275FB" w:rsidRDefault="00D96251" w:rsidP="007275FB">
      <w:pPr>
        <w:shd w:val="clear" w:color="auto" w:fill="FFFFFF"/>
        <w:jc w:val="center"/>
        <w:textAlignment w:val="top"/>
        <w:rPr>
          <w:rFonts w:ascii="Garamond" w:hAnsi="Garamond"/>
          <w:color w:val="222222"/>
          <w:sz w:val="28"/>
          <w:szCs w:val="28"/>
        </w:rPr>
      </w:pPr>
      <w:r w:rsidRPr="007275FB">
        <w:rPr>
          <w:rFonts w:ascii="Garamond" w:hAnsi="Garamond"/>
          <w:color w:val="222222"/>
          <w:sz w:val="28"/>
          <w:szCs w:val="28"/>
        </w:rPr>
        <w:t>Conversazione di Monica Longobardi e Paolo Lago</w:t>
      </w:r>
    </w:p>
    <w:p w:rsidR="00DC46CA" w:rsidRPr="007275FB" w:rsidRDefault="00D96251" w:rsidP="007275FB">
      <w:pPr>
        <w:jc w:val="center"/>
        <w:rPr>
          <w:rFonts w:ascii="Garamond" w:hAnsi="Garamond"/>
          <w:color w:val="222222"/>
          <w:sz w:val="28"/>
          <w:szCs w:val="28"/>
          <w:shd w:val="clear" w:color="auto" w:fill="FFFFFF"/>
        </w:rPr>
      </w:pPr>
      <w:r w:rsidRPr="007275FB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In occasione dell’uscita del volume, Apuleio, </w:t>
      </w:r>
      <w:r w:rsidRPr="007275FB">
        <w:rPr>
          <w:rFonts w:ascii="Garamond" w:hAnsi="Garamond"/>
          <w:i/>
          <w:color w:val="222222"/>
          <w:sz w:val="28"/>
          <w:szCs w:val="28"/>
          <w:shd w:val="clear" w:color="auto" w:fill="FFFFFF"/>
        </w:rPr>
        <w:t>Le Metamorfosi,</w:t>
      </w:r>
      <w:r w:rsidRPr="007275FB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a cura di Monica Longobardi</w:t>
      </w:r>
      <w:r w:rsidR="0018287F" w:rsidRPr="007275FB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(Rusconi).</w:t>
      </w:r>
    </w:p>
    <w:p w:rsidR="007275FB" w:rsidRDefault="007275FB" w:rsidP="007275FB">
      <w:pPr>
        <w:jc w:val="center"/>
        <w:rPr>
          <w:rFonts w:ascii="Garamond" w:hAnsi="Garamond"/>
          <w:b/>
          <w:color w:val="222222"/>
          <w:sz w:val="28"/>
          <w:szCs w:val="28"/>
          <w:shd w:val="clear" w:color="auto" w:fill="FFFFFF"/>
        </w:rPr>
      </w:pPr>
    </w:p>
    <w:p w:rsidR="00621438" w:rsidRDefault="00621438" w:rsidP="00D96251">
      <w:pPr>
        <w:rPr>
          <w:rFonts w:ascii="Garamond" w:hAnsi="Garamond"/>
          <w:b/>
          <w:color w:val="222222"/>
          <w:sz w:val="28"/>
          <w:szCs w:val="28"/>
          <w:shd w:val="clear" w:color="auto" w:fill="FFFFFF"/>
        </w:rPr>
      </w:pPr>
    </w:p>
    <w:p w:rsidR="00621438" w:rsidRDefault="00621438" w:rsidP="00D96251">
      <w:pPr>
        <w:rPr>
          <w:rFonts w:ascii="Garamond" w:hAnsi="Garamond"/>
          <w:b/>
          <w:color w:val="222222"/>
          <w:sz w:val="28"/>
          <w:szCs w:val="28"/>
          <w:shd w:val="clear" w:color="auto" w:fill="FFFFFF"/>
        </w:rPr>
      </w:pPr>
    </w:p>
    <w:p w:rsidR="007275FB" w:rsidRPr="007C4E61" w:rsidRDefault="007275FB" w:rsidP="00D96251">
      <w:pPr>
        <w:rPr>
          <w:rFonts w:ascii="Garamond" w:hAnsi="Garamond"/>
          <w:sz w:val="28"/>
          <w:szCs w:val="28"/>
        </w:rPr>
      </w:pPr>
      <w:r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>Paolo Lago, latinista, si è occupato a lungo di Petronio e del rapporto tra Pasolini e i classici. Scrive su varie testate</w:t>
      </w:r>
      <w:r w:rsidR="001E2A3F"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>, tra cui «Alias»</w:t>
      </w:r>
      <w:r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>.</w:t>
      </w:r>
      <w:r w:rsidR="001E2A3F"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r w:rsidR="00F57413"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>F</w:t>
      </w:r>
      <w:r w:rsidR="001E2A3F"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>ra le pubblicazioni</w:t>
      </w:r>
      <w:r w:rsidR="007A069F"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accademiche e di didattica del latino</w:t>
      </w:r>
      <w:r w:rsidR="001E2A3F" w:rsidRPr="007C4E6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, segnaliamo </w:t>
      </w:r>
      <w:r w:rsidR="001E2A3F" w:rsidRPr="007C4E61">
        <w:rPr>
          <w:rFonts w:ascii="Garamond" w:hAnsi="Garamond"/>
          <w:i/>
          <w:sz w:val="28"/>
          <w:szCs w:val="28"/>
        </w:rPr>
        <w:t xml:space="preserve">L’ombra corsara di </w:t>
      </w:r>
      <w:proofErr w:type="spellStart"/>
      <w:r w:rsidR="001E2A3F" w:rsidRPr="007C4E61">
        <w:rPr>
          <w:rFonts w:ascii="Garamond" w:hAnsi="Garamond"/>
          <w:i/>
          <w:sz w:val="28"/>
          <w:szCs w:val="28"/>
        </w:rPr>
        <w:t>Menippo</w:t>
      </w:r>
      <w:proofErr w:type="spellEnd"/>
      <w:r w:rsidR="001E2A3F" w:rsidRPr="007C4E61">
        <w:rPr>
          <w:rFonts w:ascii="Garamond" w:hAnsi="Garamond"/>
          <w:i/>
          <w:sz w:val="28"/>
          <w:szCs w:val="28"/>
        </w:rPr>
        <w:t>. La linea culturale menippea, fra letteratura e cinema, da Pasolini a Arbasino e Fellini,</w:t>
      </w:r>
      <w:r w:rsidR="001E2A3F" w:rsidRPr="007C4E61">
        <w:rPr>
          <w:rFonts w:ascii="Garamond" w:hAnsi="Garamond"/>
          <w:sz w:val="28"/>
          <w:szCs w:val="28"/>
        </w:rPr>
        <w:t xml:space="preserve"> Le </w:t>
      </w:r>
      <w:proofErr w:type="spellStart"/>
      <w:r w:rsidR="001E2A3F" w:rsidRPr="007C4E61">
        <w:rPr>
          <w:rFonts w:ascii="Garamond" w:hAnsi="Garamond"/>
          <w:sz w:val="28"/>
          <w:szCs w:val="28"/>
        </w:rPr>
        <w:t>Monnier</w:t>
      </w:r>
      <w:proofErr w:type="spellEnd"/>
      <w:r w:rsidR="001E2A3F" w:rsidRPr="007C4E61">
        <w:rPr>
          <w:rFonts w:ascii="Garamond" w:hAnsi="Garamond"/>
          <w:sz w:val="28"/>
          <w:szCs w:val="28"/>
        </w:rPr>
        <w:t>, Firenze 2007.</w:t>
      </w:r>
    </w:p>
    <w:sectPr w:rsidR="007275FB" w:rsidRPr="007C4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8"/>
    <w:rsid w:val="0018287F"/>
    <w:rsid w:val="001E2A3F"/>
    <w:rsid w:val="005E0723"/>
    <w:rsid w:val="00621438"/>
    <w:rsid w:val="00715374"/>
    <w:rsid w:val="007275FB"/>
    <w:rsid w:val="007A069F"/>
    <w:rsid w:val="007C4E61"/>
    <w:rsid w:val="008B7768"/>
    <w:rsid w:val="00D96251"/>
    <w:rsid w:val="00DC46CA"/>
    <w:rsid w:val="00DD0F6C"/>
    <w:rsid w:val="00F57413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64AB-826A-4312-B695-AED4F893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11</cp:revision>
  <dcterms:created xsi:type="dcterms:W3CDTF">2019-09-30T08:51:00Z</dcterms:created>
  <dcterms:modified xsi:type="dcterms:W3CDTF">2019-09-30T09:21:00Z</dcterms:modified>
</cp:coreProperties>
</file>